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E7BD" w14:textId="6D50657D" w:rsidR="008F685C" w:rsidRPr="00636A04" w:rsidRDefault="00BB466F" w:rsidP="00636A04">
      <w:pPr>
        <w:spacing w:before="240"/>
        <w:jc w:val="both"/>
        <w:rPr>
          <w:b/>
          <w:bCs/>
          <w:u w:val="single"/>
        </w:rPr>
      </w:pPr>
      <w:r>
        <w:rPr>
          <w:b/>
          <w:bCs/>
          <w:u w:val="single"/>
        </w:rPr>
        <w:t>PERSONAL</w:t>
      </w:r>
      <w:r w:rsidR="006D30BF">
        <w:rPr>
          <w:b/>
          <w:bCs/>
          <w:u w:val="single"/>
        </w:rPr>
        <w:t xml:space="preserve"> DIRECTIV</w:t>
      </w:r>
      <w:r>
        <w:rPr>
          <w:b/>
          <w:bCs/>
          <w:u w:val="single"/>
        </w:rPr>
        <w:t>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5"/>
        <w:gridCol w:w="6719"/>
      </w:tblGrid>
      <w:tr w:rsidR="008F685C" w14:paraId="1D1070DF" w14:textId="77777777" w:rsidTr="00D305FF">
        <w:tc>
          <w:tcPr>
            <w:tcW w:w="8494" w:type="dxa"/>
            <w:gridSpan w:val="2"/>
          </w:tcPr>
          <w:p w14:paraId="386BDD2A" w14:textId="1AFDA76F" w:rsidR="008F685C" w:rsidRDefault="008F685C" w:rsidP="0084633F">
            <w:pPr>
              <w:jc w:val="center"/>
              <w:rPr>
                <w:b/>
                <w:bCs/>
              </w:rPr>
            </w:pPr>
            <w:r w:rsidRPr="008F685C">
              <w:rPr>
                <w:b/>
                <w:bCs/>
              </w:rPr>
              <w:t>SECRETARIO/A GENERAL DEL PLENO</w:t>
            </w:r>
          </w:p>
        </w:tc>
      </w:tr>
      <w:tr w:rsidR="008F685C" w14:paraId="22258198" w14:textId="77777777" w:rsidTr="0084633F">
        <w:tc>
          <w:tcPr>
            <w:tcW w:w="1775" w:type="dxa"/>
          </w:tcPr>
          <w:p w14:paraId="1AC6E1F9" w14:textId="45EB5A4E" w:rsidR="008F685C" w:rsidRDefault="008F685C" w:rsidP="00710F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TITULAR: </w:t>
            </w:r>
          </w:p>
        </w:tc>
        <w:tc>
          <w:tcPr>
            <w:tcW w:w="6719" w:type="dxa"/>
          </w:tcPr>
          <w:p w14:paraId="72FA4821" w14:textId="77777777" w:rsidR="008F685C" w:rsidRPr="002B1B12" w:rsidRDefault="007E63ED" w:rsidP="00710F7F">
            <w:pPr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MARÍA ISABEL PÉREZ GUTIÉRREZ</w:t>
            </w:r>
          </w:p>
          <w:p w14:paraId="5AD7C175" w14:textId="7DBF2FB3" w:rsidR="00EC568D" w:rsidRPr="002B1B12" w:rsidRDefault="00EC568D" w:rsidP="00710F7F">
            <w:pPr>
              <w:rPr>
                <w:b/>
                <w:bCs/>
                <w:sz w:val="22"/>
                <w:szCs w:val="22"/>
              </w:rPr>
            </w:pPr>
            <w:r w:rsidRPr="002B1B12">
              <w:rPr>
                <w:b/>
                <w:bCs/>
                <w:sz w:val="22"/>
                <w:szCs w:val="22"/>
              </w:rPr>
              <w:t xml:space="preserve">Perfil y trayectoria profesional: </w:t>
            </w:r>
            <w:proofErr w:type="gramStart"/>
            <w:r w:rsidR="002B1B12" w:rsidRPr="002B1B12">
              <w:rPr>
                <w:sz w:val="22"/>
                <w:szCs w:val="22"/>
              </w:rPr>
              <w:t>Secretaria</w:t>
            </w:r>
            <w:proofErr w:type="gramEnd"/>
            <w:r w:rsidR="002B1B12" w:rsidRPr="002B1B12">
              <w:rPr>
                <w:sz w:val="22"/>
                <w:szCs w:val="22"/>
              </w:rPr>
              <w:t>-Interventora Accidental, Licenciada en Derecho.</w:t>
            </w:r>
          </w:p>
        </w:tc>
      </w:tr>
      <w:tr w:rsidR="0084633F" w14:paraId="3B29C8EB" w14:textId="77777777" w:rsidTr="0084633F">
        <w:tc>
          <w:tcPr>
            <w:tcW w:w="1775" w:type="dxa"/>
          </w:tcPr>
          <w:p w14:paraId="0CEC0487" w14:textId="6854A072" w:rsidR="0084633F" w:rsidRDefault="0084633F" w:rsidP="00710F7F">
            <w:pPr>
              <w:rPr>
                <w:b/>
                <w:bCs/>
              </w:rPr>
            </w:pPr>
            <w:r>
              <w:rPr>
                <w:b/>
                <w:bCs/>
              </w:rPr>
              <w:t>SEDE Y UBICACIÓN:</w:t>
            </w:r>
          </w:p>
        </w:tc>
        <w:tc>
          <w:tcPr>
            <w:tcW w:w="6719" w:type="dxa"/>
          </w:tcPr>
          <w:p w14:paraId="1829D87D" w14:textId="77777777" w:rsidR="0084633F" w:rsidRPr="002B1B12" w:rsidRDefault="0084633F" w:rsidP="00710F7F">
            <w:pPr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Ayuntamiento de Valle Gran Rey.</w:t>
            </w:r>
          </w:p>
          <w:p w14:paraId="55766C69" w14:textId="3EA4096D" w:rsidR="0084633F" w:rsidRPr="002B1B12" w:rsidRDefault="0084633F" w:rsidP="00710F7F">
            <w:pPr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C/ El Caidero, 16, 38870, Valle Gran Rey</w:t>
            </w:r>
          </w:p>
        </w:tc>
      </w:tr>
      <w:tr w:rsidR="007E63ED" w14:paraId="19208D06" w14:textId="77777777" w:rsidTr="0084633F">
        <w:tc>
          <w:tcPr>
            <w:tcW w:w="1775" w:type="dxa"/>
          </w:tcPr>
          <w:p w14:paraId="3BF96457" w14:textId="2F3AF6B8" w:rsidR="007E63ED" w:rsidRDefault="007E63ED" w:rsidP="00710F7F">
            <w:pPr>
              <w:rPr>
                <w:b/>
                <w:bCs/>
              </w:rPr>
            </w:pPr>
            <w:r>
              <w:rPr>
                <w:b/>
                <w:bCs/>
              </w:rPr>
              <w:t>REGULACIÓN:</w:t>
            </w:r>
          </w:p>
        </w:tc>
        <w:tc>
          <w:tcPr>
            <w:tcW w:w="6719" w:type="dxa"/>
          </w:tcPr>
          <w:p w14:paraId="698B1E91" w14:textId="6A260025" w:rsidR="007E63ED" w:rsidRPr="002B1B12" w:rsidRDefault="0084633F" w:rsidP="00710F7F">
            <w:pPr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Art 122.5 Ley 7/1985, de 2 de abril, reguladora de las Bases del Régimen Local</w:t>
            </w:r>
          </w:p>
        </w:tc>
      </w:tr>
      <w:tr w:rsidR="008F685C" w14:paraId="44DEDE67" w14:textId="77777777" w:rsidTr="0084633F">
        <w:tc>
          <w:tcPr>
            <w:tcW w:w="1775" w:type="dxa"/>
          </w:tcPr>
          <w:p w14:paraId="13E960C4" w14:textId="553ADF88" w:rsidR="008F685C" w:rsidRDefault="007E63ED" w:rsidP="00710F7F">
            <w:pPr>
              <w:rPr>
                <w:b/>
                <w:bCs/>
              </w:rPr>
            </w:pPr>
            <w:r>
              <w:rPr>
                <w:b/>
                <w:bCs/>
              </w:rPr>
              <w:t>FUNCI</w:t>
            </w:r>
            <w:r w:rsidR="0084633F">
              <w:rPr>
                <w:b/>
                <w:bCs/>
              </w:rPr>
              <w:t>ONES:</w:t>
            </w:r>
          </w:p>
        </w:tc>
        <w:tc>
          <w:tcPr>
            <w:tcW w:w="6719" w:type="dxa"/>
          </w:tcPr>
          <w:p w14:paraId="66D4AD7D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Corresponderá al secretario general del Pleno, que lo será también de las comisiones, las siguientes funciones:</w:t>
            </w:r>
          </w:p>
          <w:p w14:paraId="08108422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 xml:space="preserve">a) La redacción y custodia de las actas, así como la supervisión y autorización de </w:t>
            </w:r>
            <w:proofErr w:type="gramStart"/>
            <w:r w:rsidRPr="002B1B12">
              <w:rPr>
                <w:sz w:val="22"/>
                <w:szCs w:val="22"/>
              </w:rPr>
              <w:t>las mismas</w:t>
            </w:r>
            <w:proofErr w:type="gramEnd"/>
            <w:r w:rsidRPr="002B1B12">
              <w:rPr>
                <w:sz w:val="22"/>
                <w:szCs w:val="22"/>
              </w:rPr>
              <w:t xml:space="preserve">, con el visto bueno del </w:t>
            </w:r>
            <w:proofErr w:type="gramStart"/>
            <w:r w:rsidRPr="002B1B12">
              <w:rPr>
                <w:sz w:val="22"/>
                <w:szCs w:val="22"/>
              </w:rPr>
              <w:t>Presidente</w:t>
            </w:r>
            <w:proofErr w:type="gramEnd"/>
            <w:r w:rsidRPr="002B1B12">
              <w:rPr>
                <w:sz w:val="22"/>
                <w:szCs w:val="22"/>
              </w:rPr>
              <w:t xml:space="preserve"> del Pleno.</w:t>
            </w:r>
          </w:p>
          <w:p w14:paraId="7CA9B928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 xml:space="preserve">b) La expedición, con el visto bueno del </w:t>
            </w:r>
            <w:proofErr w:type="gramStart"/>
            <w:r w:rsidRPr="002B1B12">
              <w:rPr>
                <w:sz w:val="22"/>
                <w:szCs w:val="22"/>
              </w:rPr>
              <w:t>Presidente</w:t>
            </w:r>
            <w:proofErr w:type="gramEnd"/>
            <w:r w:rsidRPr="002B1B12">
              <w:rPr>
                <w:sz w:val="22"/>
                <w:szCs w:val="22"/>
              </w:rPr>
              <w:t xml:space="preserve"> del Pleno, de las certificaciones de los actos y acuerdos que se adopten.</w:t>
            </w:r>
          </w:p>
          <w:p w14:paraId="16312533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 xml:space="preserve">c) La asistencia al </w:t>
            </w:r>
            <w:proofErr w:type="gramStart"/>
            <w:r w:rsidRPr="002B1B12">
              <w:rPr>
                <w:sz w:val="22"/>
                <w:szCs w:val="22"/>
              </w:rPr>
              <w:t>Presidente</w:t>
            </w:r>
            <w:proofErr w:type="gramEnd"/>
            <w:r w:rsidRPr="002B1B12">
              <w:rPr>
                <w:sz w:val="22"/>
                <w:szCs w:val="22"/>
              </w:rPr>
              <w:t xml:space="preserve"> del Pleno para asegurar la convocatoria de las sesiones, el orden en los debates y la correcta celebración de las votaciones, así como la colaboración en el normal desarrollo de los trabajos del Pleno y de las comisiones.</w:t>
            </w:r>
          </w:p>
          <w:p w14:paraId="766CDE21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d) La comunicación, publicación y ejecución de los acuerdos plenarios.</w:t>
            </w:r>
          </w:p>
          <w:p w14:paraId="49929891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e) El asesoramiento legal al Pleno y a las comisiones, que será preceptivo en los siguientes supuestos:</w:t>
            </w:r>
          </w:p>
          <w:p w14:paraId="17F3C0D4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 xml:space="preserve">1.º Cuando así lo ordene el </w:t>
            </w:r>
            <w:proofErr w:type="gramStart"/>
            <w:r w:rsidRPr="002B1B12">
              <w:rPr>
                <w:sz w:val="22"/>
                <w:szCs w:val="22"/>
              </w:rPr>
              <w:t>Presidente</w:t>
            </w:r>
            <w:proofErr w:type="gramEnd"/>
            <w:r w:rsidRPr="002B1B12">
              <w:rPr>
                <w:sz w:val="22"/>
                <w:szCs w:val="22"/>
              </w:rPr>
              <w:t xml:space="preserve"> o cuando lo solicite un tercio de sus miembros con antelación suficiente a la celebración de la sesión en que el asunto hubiere de tratarse.</w:t>
            </w:r>
          </w:p>
          <w:p w14:paraId="7D3949CC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2.º Siempre que se trate de asuntos sobre materias para las que se exija una mayoría especial.</w:t>
            </w:r>
          </w:p>
          <w:p w14:paraId="19D10D93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3.º Cuando una ley así lo exija en las materias de la competencia plenaria.</w:t>
            </w:r>
          </w:p>
          <w:p w14:paraId="04027AA0" w14:textId="77777777" w:rsidR="0084633F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 xml:space="preserve">4.º Cuando, en el ejercicio de la función de control y fiscalización de los órganos de gobierno, lo solicite el </w:t>
            </w:r>
            <w:proofErr w:type="gramStart"/>
            <w:r w:rsidRPr="002B1B12">
              <w:rPr>
                <w:sz w:val="22"/>
                <w:szCs w:val="22"/>
              </w:rPr>
              <w:t>Presidente</w:t>
            </w:r>
            <w:proofErr w:type="gramEnd"/>
            <w:r w:rsidRPr="002B1B12">
              <w:rPr>
                <w:sz w:val="22"/>
                <w:szCs w:val="22"/>
              </w:rPr>
              <w:t xml:space="preserve"> o la cuarta parte, al menos, de los </w:t>
            </w:r>
            <w:proofErr w:type="gramStart"/>
            <w:r w:rsidRPr="002B1B12">
              <w:rPr>
                <w:sz w:val="22"/>
                <w:szCs w:val="22"/>
              </w:rPr>
              <w:t>Concejales</w:t>
            </w:r>
            <w:proofErr w:type="gramEnd"/>
            <w:r w:rsidRPr="002B1B12">
              <w:rPr>
                <w:sz w:val="22"/>
                <w:szCs w:val="22"/>
              </w:rPr>
              <w:t>.</w:t>
            </w:r>
          </w:p>
          <w:p w14:paraId="7B31E9AF" w14:textId="6E2704C5" w:rsidR="008F685C" w:rsidRPr="002B1B12" w:rsidRDefault="0084633F" w:rsidP="002B1B12">
            <w:pPr>
              <w:jc w:val="both"/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 xml:space="preserve">Dichas funciones quedan reservadas a funcionarios de Administración local con habilitación de carácter nacional. Su nombramiento corresponderá al </w:t>
            </w:r>
            <w:proofErr w:type="gramStart"/>
            <w:r w:rsidRPr="002B1B12">
              <w:rPr>
                <w:sz w:val="22"/>
                <w:szCs w:val="22"/>
              </w:rPr>
              <w:t>Presidente</w:t>
            </w:r>
            <w:proofErr w:type="gramEnd"/>
            <w:r w:rsidRPr="002B1B12">
              <w:rPr>
                <w:sz w:val="22"/>
                <w:szCs w:val="22"/>
              </w:rPr>
              <w:t xml:space="preserve"> en los términos previstos en la disposición adicional octava, teniendo la misma equiparación que los órganos directivos previstos en el artículo 130 de esta ley, sin perjuicio de lo que determinen a este respecto las normas orgánicas que regulen el Pleno.</w:t>
            </w:r>
          </w:p>
        </w:tc>
      </w:tr>
    </w:tbl>
    <w:p w14:paraId="0F9270E7" w14:textId="77777777" w:rsidR="008F685C" w:rsidRDefault="008F685C" w:rsidP="00710F7F">
      <w:pPr>
        <w:rPr>
          <w:b/>
          <w:bCs/>
        </w:rPr>
      </w:pPr>
    </w:p>
    <w:p w14:paraId="68300F09" w14:textId="77777777" w:rsidR="008F685C" w:rsidRDefault="008F685C" w:rsidP="00710F7F">
      <w:pPr>
        <w:rPr>
          <w:b/>
          <w:bCs/>
        </w:rPr>
      </w:pPr>
    </w:p>
    <w:p w14:paraId="2B324121" w14:textId="229E1698" w:rsidR="005B7734" w:rsidRPr="00E86E49" w:rsidRDefault="00710F7F" w:rsidP="005B7734">
      <w:r w:rsidRPr="00E86E49">
        <w:tab/>
      </w:r>
      <w:r w:rsidRPr="00E86E49">
        <w:tab/>
      </w:r>
      <w:r w:rsidRPr="00E86E49">
        <w:tab/>
      </w:r>
      <w:r w:rsidRPr="00E86E49"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5"/>
        <w:gridCol w:w="6719"/>
      </w:tblGrid>
      <w:tr w:rsidR="005B7734" w14:paraId="6C5B7828" w14:textId="77777777" w:rsidTr="004A06FE">
        <w:tc>
          <w:tcPr>
            <w:tcW w:w="8494" w:type="dxa"/>
            <w:gridSpan w:val="2"/>
          </w:tcPr>
          <w:p w14:paraId="1D9B5D6A" w14:textId="43895155" w:rsidR="005B7734" w:rsidRDefault="005B7734" w:rsidP="004A0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INTERVENTOR/A</w:t>
            </w:r>
          </w:p>
        </w:tc>
      </w:tr>
      <w:tr w:rsidR="005B7734" w:rsidRPr="002B1B12" w14:paraId="674BBE32" w14:textId="77777777" w:rsidTr="004A06FE">
        <w:tc>
          <w:tcPr>
            <w:tcW w:w="1775" w:type="dxa"/>
          </w:tcPr>
          <w:p w14:paraId="0C1D8FC5" w14:textId="77777777" w:rsidR="005B7734" w:rsidRDefault="005B7734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TITULAR: </w:t>
            </w:r>
          </w:p>
        </w:tc>
        <w:tc>
          <w:tcPr>
            <w:tcW w:w="6719" w:type="dxa"/>
          </w:tcPr>
          <w:p w14:paraId="65212825" w14:textId="20860B18" w:rsidR="005B7734" w:rsidRPr="002B1B12" w:rsidRDefault="005B7734" w:rsidP="004A06FE">
            <w:pPr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MARÍA ISABEL PÉREZ GUTIÉRREZ</w:t>
            </w:r>
          </w:p>
          <w:p w14:paraId="440DFA65" w14:textId="77777777" w:rsidR="005B7734" w:rsidRPr="002B1B12" w:rsidRDefault="005B7734" w:rsidP="004A06FE">
            <w:pPr>
              <w:rPr>
                <w:b/>
                <w:bCs/>
                <w:sz w:val="22"/>
                <w:szCs w:val="22"/>
              </w:rPr>
            </w:pPr>
            <w:r w:rsidRPr="002B1B12">
              <w:rPr>
                <w:b/>
                <w:bCs/>
                <w:sz w:val="22"/>
                <w:szCs w:val="22"/>
              </w:rPr>
              <w:t xml:space="preserve">Perfil y trayectoria profesional: </w:t>
            </w:r>
            <w:proofErr w:type="gramStart"/>
            <w:r w:rsidRPr="002B1B12">
              <w:rPr>
                <w:sz w:val="22"/>
                <w:szCs w:val="22"/>
              </w:rPr>
              <w:t>Secretaria</w:t>
            </w:r>
            <w:proofErr w:type="gramEnd"/>
            <w:r w:rsidRPr="002B1B12">
              <w:rPr>
                <w:sz w:val="22"/>
                <w:szCs w:val="22"/>
              </w:rPr>
              <w:t>-Interventora Accidental, Licenciada en Derecho.</w:t>
            </w:r>
          </w:p>
        </w:tc>
      </w:tr>
      <w:tr w:rsidR="005B7734" w:rsidRPr="002B1B12" w14:paraId="25593D4A" w14:textId="77777777" w:rsidTr="004A06FE">
        <w:tc>
          <w:tcPr>
            <w:tcW w:w="1775" w:type="dxa"/>
          </w:tcPr>
          <w:p w14:paraId="5FCC6545" w14:textId="77777777" w:rsidR="005B7734" w:rsidRDefault="005B7734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>SEDE Y UBICACIÓN:</w:t>
            </w:r>
          </w:p>
        </w:tc>
        <w:tc>
          <w:tcPr>
            <w:tcW w:w="6719" w:type="dxa"/>
          </w:tcPr>
          <w:p w14:paraId="3F55F17E" w14:textId="77777777" w:rsidR="005B7734" w:rsidRPr="002B1B12" w:rsidRDefault="005B7734" w:rsidP="004A06FE">
            <w:pPr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Ayuntamiento de Valle Gran Rey.</w:t>
            </w:r>
          </w:p>
          <w:p w14:paraId="5F1E380D" w14:textId="77777777" w:rsidR="005B7734" w:rsidRPr="002B1B12" w:rsidRDefault="005B7734" w:rsidP="004A06FE">
            <w:pPr>
              <w:rPr>
                <w:sz w:val="22"/>
                <w:szCs w:val="22"/>
              </w:rPr>
            </w:pPr>
            <w:r w:rsidRPr="002B1B12">
              <w:rPr>
                <w:sz w:val="22"/>
                <w:szCs w:val="22"/>
              </w:rPr>
              <w:t>C/ El Caidero, 16, 38870, Valle Gran Rey</w:t>
            </w:r>
          </w:p>
        </w:tc>
      </w:tr>
      <w:tr w:rsidR="005B7734" w:rsidRPr="002B1B12" w14:paraId="588AD566" w14:textId="77777777" w:rsidTr="004A06FE">
        <w:tc>
          <w:tcPr>
            <w:tcW w:w="1775" w:type="dxa"/>
          </w:tcPr>
          <w:p w14:paraId="6B910F4E" w14:textId="77777777" w:rsidR="005B7734" w:rsidRDefault="005B7734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>REGULACIÓN:</w:t>
            </w:r>
          </w:p>
        </w:tc>
        <w:tc>
          <w:tcPr>
            <w:tcW w:w="6719" w:type="dxa"/>
          </w:tcPr>
          <w:p w14:paraId="370511DB" w14:textId="5E363070" w:rsidR="005B7734" w:rsidRPr="002B1B12" w:rsidRDefault="00B83B71" w:rsidP="004A06FE">
            <w:pPr>
              <w:rPr>
                <w:sz w:val="22"/>
                <w:szCs w:val="22"/>
              </w:rPr>
            </w:pPr>
            <w:r w:rsidRPr="00B83B71">
              <w:rPr>
                <w:sz w:val="22"/>
                <w:szCs w:val="22"/>
              </w:rPr>
              <w:t>Art. 36 Ley 7/1985, de 2 de abril, Reguladora de las Bases del Régimen Local.</w:t>
            </w:r>
          </w:p>
        </w:tc>
      </w:tr>
      <w:tr w:rsidR="005B7734" w:rsidRPr="002B1B12" w14:paraId="6267E134" w14:textId="77777777" w:rsidTr="004A06FE">
        <w:tc>
          <w:tcPr>
            <w:tcW w:w="1775" w:type="dxa"/>
          </w:tcPr>
          <w:p w14:paraId="612997E6" w14:textId="77777777" w:rsidR="005B7734" w:rsidRDefault="005B7734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>FUNCIONES:</w:t>
            </w:r>
          </w:p>
        </w:tc>
        <w:tc>
          <w:tcPr>
            <w:tcW w:w="6719" w:type="dxa"/>
          </w:tcPr>
          <w:p w14:paraId="3722F870" w14:textId="77777777" w:rsidR="00B83B71" w:rsidRPr="00B83B71" w:rsidRDefault="00B83B71" w:rsidP="00B83B71">
            <w:pPr>
              <w:jc w:val="both"/>
              <w:rPr>
                <w:sz w:val="22"/>
                <w:szCs w:val="22"/>
              </w:rPr>
            </w:pPr>
            <w:r w:rsidRPr="00B83B71">
              <w:rPr>
                <w:sz w:val="22"/>
                <w:szCs w:val="22"/>
              </w:rPr>
              <w:t>1. La función pública de control y fiscalización interna de la gestión económico-financiera y presupuestaria, en su triple acepción de función interventora, función de control financiero y función de control de eficacia, corresponderá a un órgano administrativo, con la denominación de Intervención general municipal.</w:t>
            </w:r>
          </w:p>
          <w:p w14:paraId="53A1BE6C" w14:textId="77777777" w:rsidR="00B83B71" w:rsidRPr="00B83B71" w:rsidRDefault="00B83B71" w:rsidP="00B83B71">
            <w:pPr>
              <w:jc w:val="both"/>
              <w:rPr>
                <w:sz w:val="22"/>
                <w:szCs w:val="22"/>
              </w:rPr>
            </w:pPr>
            <w:r w:rsidRPr="00B83B71">
              <w:rPr>
                <w:sz w:val="22"/>
                <w:szCs w:val="22"/>
              </w:rPr>
              <w:t>2. La Intervención general municipal ejercerá sus funciones con plena autonomía respecto de los órganos y entidades municipales y cargos directivos cuya gestión fiscalice, teniendo completo acceso a la contabilidad y a cuantos documentos sean necesarios para el ejercicio de sus funciones.</w:t>
            </w:r>
          </w:p>
          <w:p w14:paraId="1DC324CF" w14:textId="7F1317FD" w:rsidR="005B7734" w:rsidRPr="002B1B12" w:rsidRDefault="00B83B71" w:rsidP="00B83B71">
            <w:pPr>
              <w:jc w:val="both"/>
              <w:rPr>
                <w:sz w:val="22"/>
                <w:szCs w:val="22"/>
              </w:rPr>
            </w:pPr>
            <w:r w:rsidRPr="00B83B71">
              <w:rPr>
                <w:sz w:val="22"/>
                <w:szCs w:val="22"/>
              </w:rPr>
              <w:t>3. Su titular será nombrado entre funcionarios de Administración local con habilitación de carácter nacional.</w:t>
            </w:r>
          </w:p>
        </w:tc>
      </w:tr>
    </w:tbl>
    <w:p w14:paraId="439AA1DF" w14:textId="0D4BCE4C" w:rsidR="00772AC9" w:rsidRDefault="00772AC9" w:rsidP="00710F7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5"/>
        <w:gridCol w:w="6719"/>
      </w:tblGrid>
      <w:tr w:rsidR="00B83B71" w14:paraId="418370A0" w14:textId="77777777" w:rsidTr="004A06FE">
        <w:tc>
          <w:tcPr>
            <w:tcW w:w="8494" w:type="dxa"/>
            <w:gridSpan w:val="2"/>
          </w:tcPr>
          <w:p w14:paraId="1AB8E059" w14:textId="54744C11" w:rsidR="00B83B71" w:rsidRDefault="00B83B71" w:rsidP="004A0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TESORERO/A</w:t>
            </w:r>
          </w:p>
        </w:tc>
      </w:tr>
      <w:tr w:rsidR="000E199F" w:rsidRPr="002B1B12" w14:paraId="60BC8859" w14:textId="77777777" w:rsidTr="000E199F">
        <w:tc>
          <w:tcPr>
            <w:tcW w:w="1775" w:type="dxa"/>
          </w:tcPr>
          <w:p w14:paraId="6A84901A" w14:textId="77777777" w:rsidR="000E199F" w:rsidRDefault="000E199F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TITULAR: </w:t>
            </w:r>
          </w:p>
        </w:tc>
        <w:tc>
          <w:tcPr>
            <w:tcW w:w="6719" w:type="dxa"/>
            <w:vMerge w:val="restart"/>
            <w:vAlign w:val="center"/>
          </w:tcPr>
          <w:p w14:paraId="5E258718" w14:textId="31450249" w:rsidR="000E199F" w:rsidRPr="000E199F" w:rsidRDefault="000E199F" w:rsidP="000E199F">
            <w:pPr>
              <w:jc w:val="center"/>
              <w:rPr>
                <w:i/>
                <w:iCs/>
                <w:sz w:val="22"/>
                <w:szCs w:val="22"/>
              </w:rPr>
            </w:pPr>
            <w:r w:rsidRPr="000E199F">
              <w:rPr>
                <w:i/>
                <w:iCs/>
                <w:sz w:val="22"/>
                <w:szCs w:val="22"/>
              </w:rPr>
              <w:t xml:space="preserve">Esta figura como tal no existe en nuestra Corporación. No obstante, las funciones propias de ello las ejerce la </w:t>
            </w:r>
            <w:proofErr w:type="gramStart"/>
            <w:r w:rsidRPr="000E199F">
              <w:rPr>
                <w:i/>
                <w:iCs/>
                <w:sz w:val="22"/>
                <w:szCs w:val="22"/>
              </w:rPr>
              <w:t>Secretaria</w:t>
            </w:r>
            <w:proofErr w:type="gramEnd"/>
            <w:r w:rsidRPr="000E199F">
              <w:rPr>
                <w:i/>
                <w:iCs/>
                <w:sz w:val="22"/>
                <w:szCs w:val="22"/>
              </w:rPr>
              <w:t>-Interventora.</w:t>
            </w:r>
          </w:p>
        </w:tc>
      </w:tr>
      <w:tr w:rsidR="000E199F" w:rsidRPr="002B1B12" w14:paraId="0C947E95" w14:textId="77777777" w:rsidTr="004A06FE">
        <w:tc>
          <w:tcPr>
            <w:tcW w:w="1775" w:type="dxa"/>
          </w:tcPr>
          <w:p w14:paraId="3BC79600" w14:textId="77777777" w:rsidR="000E199F" w:rsidRDefault="000E199F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>SEDE Y UBICACIÓN:</w:t>
            </w:r>
          </w:p>
        </w:tc>
        <w:tc>
          <w:tcPr>
            <w:tcW w:w="6719" w:type="dxa"/>
            <w:vMerge/>
          </w:tcPr>
          <w:p w14:paraId="07BD8498" w14:textId="61375695" w:rsidR="000E199F" w:rsidRPr="002B1B12" w:rsidRDefault="000E199F" w:rsidP="004A06FE">
            <w:pPr>
              <w:rPr>
                <w:sz w:val="22"/>
                <w:szCs w:val="22"/>
              </w:rPr>
            </w:pPr>
          </w:p>
        </w:tc>
      </w:tr>
      <w:tr w:rsidR="00B83B71" w:rsidRPr="002B1B12" w14:paraId="5B76E010" w14:textId="77777777" w:rsidTr="004A06FE">
        <w:tc>
          <w:tcPr>
            <w:tcW w:w="1775" w:type="dxa"/>
          </w:tcPr>
          <w:p w14:paraId="37C8D8EB" w14:textId="77777777" w:rsidR="00B83B71" w:rsidRDefault="00B83B71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>REGULACIÓN:</w:t>
            </w:r>
          </w:p>
        </w:tc>
        <w:tc>
          <w:tcPr>
            <w:tcW w:w="6719" w:type="dxa"/>
          </w:tcPr>
          <w:p w14:paraId="2F369174" w14:textId="5D977795" w:rsidR="00B83B71" w:rsidRPr="002B1B12" w:rsidRDefault="000E199F" w:rsidP="004A06FE">
            <w:pPr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Arts. 5 y 6 Real Decreto 1174/1987, de 18 de septiembre, por el que se regula el régimen jurídico de los funcionarios de la Administración Local con habilitación de carácter nacional.</w:t>
            </w:r>
          </w:p>
        </w:tc>
      </w:tr>
      <w:tr w:rsidR="00B83B71" w:rsidRPr="002B1B12" w14:paraId="2827B34B" w14:textId="77777777" w:rsidTr="004A06FE">
        <w:tc>
          <w:tcPr>
            <w:tcW w:w="1775" w:type="dxa"/>
          </w:tcPr>
          <w:p w14:paraId="7A7EA63E" w14:textId="77777777" w:rsidR="00B83B71" w:rsidRDefault="00B83B71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>FUNCIONES:</w:t>
            </w:r>
          </w:p>
        </w:tc>
        <w:tc>
          <w:tcPr>
            <w:tcW w:w="6719" w:type="dxa"/>
          </w:tcPr>
          <w:p w14:paraId="4575016C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Art 5. La función de Tesorería comprende:</w:t>
            </w:r>
          </w:p>
          <w:p w14:paraId="34C45777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a) El manejo y custodia de fondos, valores y efectos de la Entidad local, de conformidad con lo establecido por las disposiciones legales vigentes.</w:t>
            </w:r>
          </w:p>
          <w:p w14:paraId="6B5C31CA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b) La Jefatura de los Servicios de recaudación.</w:t>
            </w:r>
          </w:p>
          <w:p w14:paraId="4AEF101D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2. El manejo y custodia de fondos, valores y efectos comprende:</w:t>
            </w:r>
          </w:p>
          <w:p w14:paraId="5049FA95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a) La realización de cuantos cobros y pagos corresponda a los fondos y valores de la Entidad, de conformidad con lo establecido por las disposiciones legales vigentes.</w:t>
            </w:r>
          </w:p>
          <w:p w14:paraId="411EFBFF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b) La organización de la custodia de fondos, valores y efectos de conformidad con las directrices señaladas por la Presidencia.</w:t>
            </w:r>
          </w:p>
          <w:p w14:paraId="5CB6459E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c) Ejecutar, conforme a las directrices marcadas por la Corporación, las consignaciones en Bancos, Caja General de Depósitos y establecimientos análogos, autorizando junto con el Ordenador de pagos y el Interventor los cheques y demás órdenes de pago que se giren contra las cuentas abiertas en dichos establecimientos.</w:t>
            </w:r>
          </w:p>
          <w:p w14:paraId="5799B263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 xml:space="preserve">d) La formación de los planes y programas de tesorería, distribuyendo en el tiempo las disponibilidades dinerarias de la Entidad para la </w:t>
            </w:r>
            <w:r w:rsidRPr="000E199F">
              <w:rPr>
                <w:sz w:val="22"/>
                <w:szCs w:val="22"/>
              </w:rPr>
              <w:lastRenderedPageBreak/>
              <w:t>puntual satisfacción de sus obligaciones, atendiendo a las prioridades legalmente establecidas, conforme a las directrices marcadas por la Corporación.</w:t>
            </w:r>
          </w:p>
          <w:p w14:paraId="3E5D60B3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3. La jefatura de los Servicios recaudatorios comprende:</w:t>
            </w:r>
          </w:p>
          <w:p w14:paraId="1F53799D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a) El impulso y dirección de los procedimientos recaudatorios, proponiendo las medidas necesarias para que la cobranza se realice dentro de los plazos señalados.</w:t>
            </w:r>
          </w:p>
          <w:p w14:paraId="606D338E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b) La autorización de los pliegos de cargo de valores que se entreguen a los recaudadores y agentes ejecutivos.</w:t>
            </w:r>
          </w:p>
          <w:p w14:paraId="585FBF47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c) Dictar la providencia de apremio en los expedientes administrativos de este carácter y autorizar la subasta de bienes embargados.</w:t>
            </w:r>
          </w:p>
          <w:p w14:paraId="6C39E7D3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d) La tramitación de los expedientes de responsabilidad por perjuicio de valores. Art. 6.º</w:t>
            </w:r>
          </w:p>
          <w:p w14:paraId="047F6C1D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1. La función de contabilidad comprende:</w:t>
            </w:r>
          </w:p>
          <w:p w14:paraId="27633BB9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a) La coordinación de las funciones o actividades contables de la Entidad local, con arreglo al Plan de Cuentas a que se refiere el artículo 114 de la Ley 7/1985, de 2 de abril, emitiendo las instrucciones técnicas oportunas e inspeccionando su aplicación.</w:t>
            </w:r>
          </w:p>
          <w:p w14:paraId="24F701F9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b) La preparación y redacción de la Cuenta General del Presupuesto y de la Administración del Patrimonio, así como la formulación de la liquidación del presupuesto anual.</w:t>
            </w:r>
          </w:p>
          <w:p w14:paraId="33137829" w14:textId="77777777" w:rsidR="000E199F" w:rsidRPr="000E199F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c) El examen e informe de las Cuentas de Tesorería y de Valores Independientes y Auxiliares del Presupuesto.</w:t>
            </w:r>
          </w:p>
          <w:p w14:paraId="34472373" w14:textId="0CF59A69" w:rsidR="00B83B71" w:rsidRPr="002B1B12" w:rsidRDefault="000E199F" w:rsidP="000E199F">
            <w:pPr>
              <w:jc w:val="both"/>
              <w:rPr>
                <w:sz w:val="22"/>
                <w:szCs w:val="22"/>
              </w:rPr>
            </w:pPr>
            <w:r w:rsidRPr="000E199F">
              <w:rPr>
                <w:sz w:val="22"/>
                <w:szCs w:val="22"/>
              </w:rPr>
              <w:t>2. La responsabilidad administrativa de las funciones cantables propias de la Tesorería corresponderá a funcionarios con habilitación de carácter nacional en los supuestos en que, de acuerdo con lo establecido en el presente Real Decreto, esté reservada a los mismos la responsabilidad del conjunto de la función de Tesorería.</w:t>
            </w:r>
          </w:p>
        </w:tc>
      </w:tr>
    </w:tbl>
    <w:p w14:paraId="469DD978" w14:textId="77777777" w:rsidR="00B83B71" w:rsidRDefault="00B83B71" w:rsidP="00710F7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5"/>
        <w:gridCol w:w="6719"/>
      </w:tblGrid>
      <w:tr w:rsidR="00E62627" w14:paraId="4AE7309A" w14:textId="77777777" w:rsidTr="004A06FE">
        <w:tc>
          <w:tcPr>
            <w:tcW w:w="8494" w:type="dxa"/>
            <w:gridSpan w:val="2"/>
          </w:tcPr>
          <w:p w14:paraId="7CBBC7A6" w14:textId="5375A34A" w:rsidR="00E62627" w:rsidRDefault="00E62627" w:rsidP="004A0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ASESORÍA JURÍDICA</w:t>
            </w:r>
          </w:p>
        </w:tc>
      </w:tr>
      <w:tr w:rsidR="00E62627" w:rsidRPr="000E199F" w14:paraId="29605CD2" w14:textId="77777777" w:rsidTr="004A06FE">
        <w:tc>
          <w:tcPr>
            <w:tcW w:w="1775" w:type="dxa"/>
          </w:tcPr>
          <w:p w14:paraId="2240632E" w14:textId="77777777" w:rsidR="00E62627" w:rsidRDefault="00E62627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TITULAR: </w:t>
            </w:r>
          </w:p>
        </w:tc>
        <w:tc>
          <w:tcPr>
            <w:tcW w:w="6719" w:type="dxa"/>
            <w:vMerge w:val="restart"/>
            <w:vAlign w:val="center"/>
          </w:tcPr>
          <w:p w14:paraId="1B29B062" w14:textId="063E9452" w:rsidR="00E62627" w:rsidRPr="000E199F" w:rsidRDefault="00636A04" w:rsidP="004A06FE">
            <w:pPr>
              <w:jc w:val="center"/>
              <w:rPr>
                <w:i/>
                <w:iCs/>
                <w:sz w:val="22"/>
                <w:szCs w:val="22"/>
              </w:rPr>
            </w:pPr>
            <w:r w:rsidRPr="00636A04">
              <w:rPr>
                <w:i/>
                <w:iCs/>
                <w:sz w:val="22"/>
                <w:szCs w:val="22"/>
              </w:rPr>
              <w:t>Actualmente no disponemos de ello.</w:t>
            </w:r>
          </w:p>
        </w:tc>
      </w:tr>
      <w:tr w:rsidR="00E62627" w:rsidRPr="002B1B12" w14:paraId="7C33356C" w14:textId="77777777" w:rsidTr="004A06FE">
        <w:tc>
          <w:tcPr>
            <w:tcW w:w="1775" w:type="dxa"/>
          </w:tcPr>
          <w:p w14:paraId="70D5A71F" w14:textId="77777777" w:rsidR="00E62627" w:rsidRDefault="00E62627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>SEDE Y UBICACIÓN:</w:t>
            </w:r>
          </w:p>
        </w:tc>
        <w:tc>
          <w:tcPr>
            <w:tcW w:w="6719" w:type="dxa"/>
            <w:vMerge/>
          </w:tcPr>
          <w:p w14:paraId="4F79515D" w14:textId="77777777" w:rsidR="00E62627" w:rsidRPr="002B1B12" w:rsidRDefault="00E62627" w:rsidP="004A06FE">
            <w:pPr>
              <w:rPr>
                <w:sz w:val="22"/>
                <w:szCs w:val="22"/>
              </w:rPr>
            </w:pPr>
          </w:p>
        </w:tc>
      </w:tr>
      <w:tr w:rsidR="00E62627" w:rsidRPr="002B1B12" w14:paraId="16FB093A" w14:textId="77777777" w:rsidTr="004A06FE">
        <w:tc>
          <w:tcPr>
            <w:tcW w:w="1775" w:type="dxa"/>
          </w:tcPr>
          <w:p w14:paraId="53956BDD" w14:textId="77777777" w:rsidR="00E62627" w:rsidRDefault="00E62627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>REGULACIÓN:</w:t>
            </w:r>
          </w:p>
        </w:tc>
        <w:tc>
          <w:tcPr>
            <w:tcW w:w="6719" w:type="dxa"/>
          </w:tcPr>
          <w:p w14:paraId="2657F266" w14:textId="32F78A52" w:rsidR="00E62627" w:rsidRPr="002B1B12" w:rsidRDefault="00636A04" w:rsidP="004A06FE">
            <w:pPr>
              <w:rPr>
                <w:sz w:val="22"/>
                <w:szCs w:val="22"/>
              </w:rPr>
            </w:pPr>
            <w:r w:rsidRPr="00636A04">
              <w:rPr>
                <w:sz w:val="22"/>
                <w:szCs w:val="22"/>
              </w:rPr>
              <w:t>Art 129 Ley 7/1985, de 2 de abril, reguladora de las Bases del Régimen Local</w:t>
            </w:r>
          </w:p>
        </w:tc>
      </w:tr>
      <w:tr w:rsidR="00E62627" w:rsidRPr="002B1B12" w14:paraId="45C04A1C" w14:textId="77777777" w:rsidTr="004A06FE">
        <w:tc>
          <w:tcPr>
            <w:tcW w:w="1775" w:type="dxa"/>
          </w:tcPr>
          <w:p w14:paraId="379DA533" w14:textId="77777777" w:rsidR="00E62627" w:rsidRDefault="00E62627" w:rsidP="004A06FE">
            <w:pPr>
              <w:rPr>
                <w:b/>
                <w:bCs/>
              </w:rPr>
            </w:pPr>
            <w:r>
              <w:rPr>
                <w:b/>
                <w:bCs/>
              </w:rPr>
              <w:t>FUNCIONES:</w:t>
            </w:r>
          </w:p>
        </w:tc>
        <w:tc>
          <w:tcPr>
            <w:tcW w:w="6719" w:type="dxa"/>
          </w:tcPr>
          <w:p w14:paraId="269CA09E" w14:textId="77777777" w:rsidR="00636A04" w:rsidRPr="00636A04" w:rsidRDefault="00636A04" w:rsidP="00636A04">
            <w:pPr>
              <w:jc w:val="both"/>
              <w:rPr>
                <w:sz w:val="22"/>
                <w:szCs w:val="22"/>
              </w:rPr>
            </w:pPr>
            <w:r w:rsidRPr="00636A04">
              <w:rPr>
                <w:sz w:val="22"/>
                <w:szCs w:val="22"/>
              </w:rPr>
              <w:t xml:space="preserve">1. Sin perjuicio de las funciones reservadas al secretario del Pleno por el párrafo e) del apartado 5 del artículo 122 de esta ley, existirá un órgano administrativo responsable de la asistencia jurídica al </w:t>
            </w:r>
            <w:proofErr w:type="gramStart"/>
            <w:r w:rsidRPr="00636A04">
              <w:rPr>
                <w:sz w:val="22"/>
                <w:szCs w:val="22"/>
              </w:rPr>
              <w:t>Alcalde</w:t>
            </w:r>
            <w:proofErr w:type="gramEnd"/>
            <w:r w:rsidRPr="00636A04">
              <w:rPr>
                <w:sz w:val="22"/>
                <w:szCs w:val="22"/>
              </w:rPr>
              <w:t>, a la Junta de Gobierno Local y a los órganos directivos, comprensiva del asesoramiento jurídico y de la representación y defensa en juicio del ayuntamiento, sin perjuicio de lo dispuesto en el apartado segundo del artículo 447 de la Ley 6/1985, de 1 de julio, del Poder Judicial.</w:t>
            </w:r>
          </w:p>
          <w:p w14:paraId="61CA85E5" w14:textId="77777777" w:rsidR="00636A04" w:rsidRPr="00636A04" w:rsidRDefault="00636A04" w:rsidP="00636A04">
            <w:pPr>
              <w:jc w:val="both"/>
              <w:rPr>
                <w:sz w:val="22"/>
                <w:szCs w:val="22"/>
              </w:rPr>
            </w:pPr>
            <w:r w:rsidRPr="00636A04">
              <w:rPr>
                <w:sz w:val="22"/>
                <w:szCs w:val="22"/>
              </w:rPr>
              <w:t xml:space="preserve">La referencia al artículo 447 de la LOPJ, debe entenderse hecha al artículo 544.3 de la LOPJ, en la redacción dada el mismo por la L.O. </w:t>
            </w:r>
            <w:r w:rsidRPr="00636A04">
              <w:rPr>
                <w:sz w:val="22"/>
                <w:szCs w:val="22"/>
              </w:rPr>
              <w:lastRenderedPageBreak/>
              <w:t>19/2003, de 23 de diciembre, de modificación de la L.O. 6/1985, de 1 de julio, del Poder Judicial («B.O.E.» 26 diciembre).</w:t>
            </w:r>
          </w:p>
          <w:p w14:paraId="317F7A62" w14:textId="77777777" w:rsidR="00636A04" w:rsidRPr="00636A04" w:rsidRDefault="00636A04" w:rsidP="00636A04">
            <w:pPr>
              <w:jc w:val="both"/>
              <w:rPr>
                <w:sz w:val="22"/>
                <w:szCs w:val="22"/>
              </w:rPr>
            </w:pPr>
            <w:r w:rsidRPr="00636A04">
              <w:rPr>
                <w:sz w:val="22"/>
                <w:szCs w:val="22"/>
              </w:rPr>
              <w:t>2. Su titular será nombrado y separado por la Junta de Gobierno Local, entre personas que reúnan los siguientes requisitos:</w:t>
            </w:r>
          </w:p>
          <w:p w14:paraId="0286D36D" w14:textId="77777777" w:rsidR="00636A04" w:rsidRPr="00636A04" w:rsidRDefault="00636A04" w:rsidP="00636A04">
            <w:pPr>
              <w:jc w:val="both"/>
              <w:rPr>
                <w:sz w:val="22"/>
                <w:szCs w:val="22"/>
              </w:rPr>
            </w:pPr>
          </w:p>
          <w:p w14:paraId="0969BD90" w14:textId="77777777" w:rsidR="00636A04" w:rsidRPr="00636A04" w:rsidRDefault="00636A04" w:rsidP="00636A04">
            <w:pPr>
              <w:jc w:val="both"/>
              <w:rPr>
                <w:sz w:val="22"/>
                <w:szCs w:val="22"/>
              </w:rPr>
            </w:pPr>
            <w:r w:rsidRPr="00636A04">
              <w:rPr>
                <w:sz w:val="22"/>
                <w:szCs w:val="22"/>
              </w:rPr>
              <w:t>a) Estar en posesión del título de licenciado en derecho.</w:t>
            </w:r>
          </w:p>
          <w:p w14:paraId="03BB5BE0" w14:textId="389A034C" w:rsidR="00E62627" w:rsidRPr="002B1B12" w:rsidRDefault="00636A04" w:rsidP="00636A04">
            <w:pPr>
              <w:jc w:val="both"/>
              <w:rPr>
                <w:sz w:val="22"/>
                <w:szCs w:val="22"/>
              </w:rPr>
            </w:pPr>
            <w:r w:rsidRPr="00636A04">
              <w:rPr>
                <w:sz w:val="22"/>
                <w:szCs w:val="22"/>
              </w:rPr>
              <w:t>b) Ostentar la condición de funcionario de administración local con habilitación de carácter nacional, o bien funcionario de carrera del Estado, de las comunidades autónomas o de las entidades locales, a los que se exija para su ingreso el título de doctor, licenciado, ingeniero, arquitecto o equivalente.</w:t>
            </w:r>
          </w:p>
        </w:tc>
      </w:tr>
    </w:tbl>
    <w:p w14:paraId="0CCB6C4B" w14:textId="77777777" w:rsidR="000E199F" w:rsidRPr="00E86E49" w:rsidRDefault="000E199F" w:rsidP="00710F7F"/>
    <w:sectPr w:rsidR="000E199F" w:rsidRPr="00E86E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29E1" w14:textId="77777777" w:rsidR="00556951" w:rsidRDefault="00556951" w:rsidP="00AC0887">
      <w:pPr>
        <w:spacing w:after="0" w:line="240" w:lineRule="auto"/>
      </w:pPr>
      <w:r>
        <w:separator/>
      </w:r>
    </w:p>
  </w:endnote>
  <w:endnote w:type="continuationSeparator" w:id="0">
    <w:p w14:paraId="62E0C08B" w14:textId="77777777" w:rsidR="00556951" w:rsidRDefault="00556951" w:rsidP="00AC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1AB4" w14:textId="77777777" w:rsidR="00556951" w:rsidRDefault="00556951" w:rsidP="00AC0887">
      <w:pPr>
        <w:spacing w:after="0" w:line="240" w:lineRule="auto"/>
      </w:pPr>
      <w:r>
        <w:separator/>
      </w:r>
    </w:p>
  </w:footnote>
  <w:footnote w:type="continuationSeparator" w:id="0">
    <w:p w14:paraId="14FA8F85" w14:textId="77777777" w:rsidR="00556951" w:rsidRDefault="00556951" w:rsidP="00AC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270" w14:textId="57E0F32B" w:rsidR="00AC0887" w:rsidRDefault="00AC0887">
    <w:pPr>
      <w:pStyle w:val="Encabezado"/>
    </w:pPr>
    <w:r>
      <w:rPr>
        <w:noProof/>
      </w:rPr>
      <w:drawing>
        <wp:inline distT="0" distB="0" distL="0" distR="0" wp14:anchorId="7FC93C72" wp14:editId="44A10B5B">
          <wp:extent cx="431563" cy="676275"/>
          <wp:effectExtent l="0" t="0" r="6985" b="0"/>
          <wp:docPr id="106712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608" cy="685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61871" w14:textId="77777777" w:rsidR="00AC0887" w:rsidRDefault="00AC0887">
    <w:pPr>
      <w:pStyle w:val="Encabezado"/>
    </w:pPr>
  </w:p>
  <w:p w14:paraId="0B1219FD" w14:textId="77777777" w:rsidR="00AC0887" w:rsidRDefault="00AC0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C52C1"/>
    <w:multiLevelType w:val="hybridMultilevel"/>
    <w:tmpl w:val="DE8C5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F743A"/>
    <w:multiLevelType w:val="hybridMultilevel"/>
    <w:tmpl w:val="641E4A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254685">
    <w:abstractNumId w:val="1"/>
  </w:num>
  <w:num w:numId="2" w16cid:durableId="16320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91"/>
    <w:rsid w:val="000258CD"/>
    <w:rsid w:val="00042291"/>
    <w:rsid w:val="00075E88"/>
    <w:rsid w:val="000A0207"/>
    <w:rsid w:val="000A07B0"/>
    <w:rsid w:val="000D3967"/>
    <w:rsid w:val="000E199F"/>
    <w:rsid w:val="000E7517"/>
    <w:rsid w:val="00183FD7"/>
    <w:rsid w:val="001A1CD3"/>
    <w:rsid w:val="001C7E64"/>
    <w:rsid w:val="001E226B"/>
    <w:rsid w:val="00211F1D"/>
    <w:rsid w:val="0024359C"/>
    <w:rsid w:val="002906C0"/>
    <w:rsid w:val="002918C8"/>
    <w:rsid w:val="002A3536"/>
    <w:rsid w:val="002A4E77"/>
    <w:rsid w:val="002B1B12"/>
    <w:rsid w:val="002B6F34"/>
    <w:rsid w:val="002E7FDE"/>
    <w:rsid w:val="00306913"/>
    <w:rsid w:val="00352277"/>
    <w:rsid w:val="00357EC2"/>
    <w:rsid w:val="003C7547"/>
    <w:rsid w:val="003C78AA"/>
    <w:rsid w:val="003D220E"/>
    <w:rsid w:val="003D5F07"/>
    <w:rsid w:val="003F2107"/>
    <w:rsid w:val="00412A4F"/>
    <w:rsid w:val="004633AB"/>
    <w:rsid w:val="004704C1"/>
    <w:rsid w:val="00470B4D"/>
    <w:rsid w:val="004F3350"/>
    <w:rsid w:val="005015C8"/>
    <w:rsid w:val="00511272"/>
    <w:rsid w:val="00514514"/>
    <w:rsid w:val="00556951"/>
    <w:rsid w:val="00557578"/>
    <w:rsid w:val="005B7734"/>
    <w:rsid w:val="00603E33"/>
    <w:rsid w:val="0061059A"/>
    <w:rsid w:val="0061365A"/>
    <w:rsid w:val="00630909"/>
    <w:rsid w:val="00636A04"/>
    <w:rsid w:val="00636C97"/>
    <w:rsid w:val="0065495A"/>
    <w:rsid w:val="006654C2"/>
    <w:rsid w:val="006B61E2"/>
    <w:rsid w:val="006D30BF"/>
    <w:rsid w:val="006E245E"/>
    <w:rsid w:val="006F0552"/>
    <w:rsid w:val="00710F7F"/>
    <w:rsid w:val="00715DF1"/>
    <w:rsid w:val="00772AC9"/>
    <w:rsid w:val="00776892"/>
    <w:rsid w:val="007D0D86"/>
    <w:rsid w:val="007E602E"/>
    <w:rsid w:val="007E63ED"/>
    <w:rsid w:val="0084633F"/>
    <w:rsid w:val="00865522"/>
    <w:rsid w:val="008D31DC"/>
    <w:rsid w:val="008F685C"/>
    <w:rsid w:val="009354A4"/>
    <w:rsid w:val="00944EB1"/>
    <w:rsid w:val="00A676D5"/>
    <w:rsid w:val="00AB4204"/>
    <w:rsid w:val="00AC0887"/>
    <w:rsid w:val="00AC2154"/>
    <w:rsid w:val="00AE2D69"/>
    <w:rsid w:val="00B162C3"/>
    <w:rsid w:val="00B83B71"/>
    <w:rsid w:val="00BB466F"/>
    <w:rsid w:val="00C60AB7"/>
    <w:rsid w:val="00C944FA"/>
    <w:rsid w:val="00CE5D58"/>
    <w:rsid w:val="00D03A77"/>
    <w:rsid w:val="00D240BC"/>
    <w:rsid w:val="00D46DC5"/>
    <w:rsid w:val="00D50C8C"/>
    <w:rsid w:val="00D5638C"/>
    <w:rsid w:val="00D71A7F"/>
    <w:rsid w:val="00D90083"/>
    <w:rsid w:val="00DA4DE3"/>
    <w:rsid w:val="00DC34E5"/>
    <w:rsid w:val="00DC68A5"/>
    <w:rsid w:val="00E02195"/>
    <w:rsid w:val="00E3466B"/>
    <w:rsid w:val="00E60E3F"/>
    <w:rsid w:val="00E62627"/>
    <w:rsid w:val="00E863F7"/>
    <w:rsid w:val="00E86E49"/>
    <w:rsid w:val="00EB794D"/>
    <w:rsid w:val="00EC262C"/>
    <w:rsid w:val="00EC568D"/>
    <w:rsid w:val="00F21D7C"/>
    <w:rsid w:val="00F348FD"/>
    <w:rsid w:val="00F81E35"/>
    <w:rsid w:val="00F9102E"/>
    <w:rsid w:val="00FE3543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E35E"/>
  <w15:chartTrackingRefBased/>
  <w15:docId w15:val="{A7628526-BA8C-4A48-812B-C4E1A2CA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5D77"/>
    <w:pPr>
      <w:keepNext/>
      <w:keepLines/>
      <w:suppressAutoHyphens/>
      <w:autoSpaceDN w:val="0"/>
      <w:spacing w:before="240" w:after="0" w:line="240" w:lineRule="auto"/>
      <w:jc w:val="center"/>
      <w:textAlignment w:val="baseline"/>
      <w:outlineLvl w:val="0"/>
    </w:pPr>
    <w:rPr>
      <w:rFonts w:ascii="Arial" w:eastAsiaTheme="majorEastAsia" w:hAnsi="Arial" w:cs="Mangal"/>
      <w:b/>
      <w:szCs w:val="29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6C97"/>
    <w:pPr>
      <w:keepNext/>
      <w:keepLines/>
      <w:suppressAutoHyphens/>
      <w:autoSpaceDN w:val="0"/>
      <w:spacing w:before="280" w:after="240" w:line="360" w:lineRule="auto"/>
      <w:jc w:val="both"/>
      <w:textAlignment w:val="baseline"/>
      <w:outlineLvl w:val="1"/>
    </w:pPr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2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2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D77"/>
    <w:rPr>
      <w:rFonts w:ascii="Arial" w:eastAsiaTheme="majorEastAsia" w:hAnsi="Arial" w:cs="Mangal"/>
      <w:b/>
      <w:szCs w:val="29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D77"/>
    <w:pPr>
      <w:numPr>
        <w:ilvl w:val="1"/>
      </w:numPr>
      <w:suppressAutoHyphens/>
      <w:autoSpaceDN w:val="0"/>
      <w:spacing w:line="240" w:lineRule="auto"/>
      <w:textAlignment w:val="baseline"/>
    </w:pPr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FE5D77"/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6C97"/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2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22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22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22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22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22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22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04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22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22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22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2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22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229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0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887"/>
  </w:style>
  <w:style w:type="paragraph" w:styleId="Piedepgina">
    <w:name w:val="footer"/>
    <w:basedOn w:val="Normal"/>
    <w:link w:val="PiedepginaCar"/>
    <w:uiPriority w:val="99"/>
    <w:unhideWhenUsed/>
    <w:rsid w:val="00AC0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887"/>
  </w:style>
  <w:style w:type="table" w:styleId="Tablaconcuadrcula">
    <w:name w:val="Table Grid"/>
    <w:basedOn w:val="Tablanormal"/>
    <w:uiPriority w:val="39"/>
    <w:rsid w:val="00AE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1181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Sanderson Correa</dc:creator>
  <cp:keywords/>
  <dc:description/>
  <cp:lastModifiedBy>Leda Sanderson Correa</cp:lastModifiedBy>
  <cp:revision>81</cp:revision>
  <dcterms:created xsi:type="dcterms:W3CDTF">2026-06-12T13:36:00Z</dcterms:created>
  <dcterms:modified xsi:type="dcterms:W3CDTF">2026-06-16T07:43:00Z</dcterms:modified>
</cp:coreProperties>
</file>