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0326B" w14:textId="77777777" w:rsidR="001B5747" w:rsidRDefault="00434CAE">
      <w:pPr>
        <w:ind w:left="5" w:right="13"/>
      </w:pPr>
      <w:r>
        <w:t xml:space="preserve">Expediente n. </w:t>
      </w:r>
      <w:r>
        <w:rPr>
          <w:vertAlign w:val="superscript"/>
        </w:rPr>
        <w:t xml:space="preserve">0 </w:t>
      </w:r>
      <w:r>
        <w:t>: 33/2024</w:t>
      </w:r>
    </w:p>
    <w:p w14:paraId="466B1D45" w14:textId="77777777" w:rsidR="001B5747" w:rsidRDefault="00434CAE">
      <w:pPr>
        <w:ind w:left="5" w:right="13"/>
      </w:pPr>
      <w:r>
        <w:t>Procedimiento: Aprobación de la Liquidación del Presupuesto 2023</w:t>
      </w:r>
    </w:p>
    <w:p w14:paraId="164EB736" w14:textId="77777777" w:rsidR="001B5747" w:rsidRDefault="00434CAE">
      <w:pPr>
        <w:spacing w:after="314"/>
        <w:ind w:left="5" w:right="13"/>
      </w:pPr>
      <w:r>
        <w:t>Asunto: Informe del cálculo de la Estabilidad Presupuestaria y la Sostenibilidad Financiera</w:t>
      </w:r>
    </w:p>
    <w:p w14:paraId="64D74F9B" w14:textId="77777777" w:rsidR="001B5747" w:rsidRDefault="00434CAE">
      <w:pPr>
        <w:pStyle w:val="Ttulo1"/>
        <w:spacing w:after="488"/>
        <w:ind w:left="19" w:right="19"/>
      </w:pPr>
      <w:r>
        <w:t>INFORME DE INTERVENCIÓN</w:t>
      </w:r>
    </w:p>
    <w:p w14:paraId="3315E7F8" w14:textId="77777777" w:rsidR="001B5747" w:rsidRDefault="00434CAE">
      <w:pPr>
        <w:spacing w:after="469"/>
        <w:ind w:left="5" w:right="13"/>
      </w:pPr>
      <w:r>
        <w:t>Con motivo de la liquidación del presupuesto del ejercicio 2023 y en cumplimiento de lo previsto en el artículo 16.2 del Reglamento de Desarrollo de la Ley 18/2001, de 12 de diciembre, de Estabilidad Presupuestaria, en su aplicación a las Entidades Locales aprobado por el Real Decreto 1463/2007, de 2 de noviembre, esta Intervención, en virtud de las atribuciones de control citadas y establecidas en el artículo 213 del Texto Refundido de la Ley Reguladora de las Haciendas Locales aprobado por el Real Decreto</w:t>
      </w:r>
      <w:r>
        <w:t xml:space="preserve"> Legislativo 2/2004, de 5 de marzo y desarrolladas por el Real Decreto 424/2017, de 28 de abril, por el que se regula el régimen jurídico del control interno en las entidades del Sector Público Local; y en atención a las facultades recogidas en el artículo 4.1.b.6. </w:t>
      </w:r>
      <w:r>
        <w:rPr>
          <w:vertAlign w:val="superscript"/>
        </w:rPr>
        <w:t xml:space="preserve">0 </w:t>
      </w:r>
      <w:r>
        <w:t>del Real Decreto 128/2018, de 16 de marzo, por el que se regula el Régimen Jurídico de los Funcionarios de Administración Local con habilitación de carácter nacional, emito el siguiente:</w:t>
      </w:r>
    </w:p>
    <w:p w14:paraId="6A70D5D4" w14:textId="77777777" w:rsidR="001B5747" w:rsidRDefault="00434CAE">
      <w:pPr>
        <w:pStyle w:val="Ttulo1"/>
        <w:ind w:left="19" w:right="0"/>
      </w:pPr>
      <w:r>
        <w:rPr>
          <w:noProof/>
        </w:rPr>
        <w:drawing>
          <wp:anchor distT="0" distB="0" distL="114300" distR="114300" simplePos="0" relativeHeight="251658240" behindDoc="0" locked="0" layoutInCell="1" allowOverlap="0" wp14:anchorId="788590D3" wp14:editId="3711E5B7">
            <wp:simplePos x="0" y="0"/>
            <wp:positionH relativeFrom="page">
              <wp:posOffset>7012438</wp:posOffset>
            </wp:positionH>
            <wp:positionV relativeFrom="page">
              <wp:posOffset>9274676</wp:posOffset>
            </wp:positionV>
            <wp:extent cx="11916" cy="11913"/>
            <wp:effectExtent l="0" t="0" r="0" b="0"/>
            <wp:wrapSquare wrapText="bothSides"/>
            <wp:docPr id="41992" name="Picture 41992"/>
            <wp:cNvGraphicFramePr/>
            <a:graphic xmlns:a="http://schemas.openxmlformats.org/drawingml/2006/main">
              <a:graphicData uri="http://schemas.openxmlformats.org/drawingml/2006/picture">
                <pic:pic xmlns:pic="http://schemas.openxmlformats.org/drawingml/2006/picture">
                  <pic:nvPicPr>
                    <pic:cNvPr id="41992" name="Picture 41992"/>
                    <pic:cNvPicPr/>
                  </pic:nvPicPr>
                  <pic:blipFill>
                    <a:blip r:embed="rId7"/>
                    <a:stretch>
                      <a:fillRect/>
                    </a:stretch>
                  </pic:blipFill>
                  <pic:spPr>
                    <a:xfrm>
                      <a:off x="0" y="0"/>
                      <a:ext cx="11916" cy="11913"/>
                    </a:xfrm>
                    <a:prstGeom prst="rect">
                      <a:avLst/>
                    </a:prstGeom>
                  </pic:spPr>
                </pic:pic>
              </a:graphicData>
            </a:graphic>
          </wp:anchor>
        </w:drawing>
      </w:r>
      <w:r>
        <w:rPr>
          <w:noProof/>
        </w:rPr>
        <w:drawing>
          <wp:anchor distT="0" distB="0" distL="114300" distR="114300" simplePos="0" relativeHeight="251659264" behindDoc="0" locked="0" layoutInCell="1" allowOverlap="0" wp14:anchorId="44A66915" wp14:editId="3F1A2F08">
            <wp:simplePos x="0" y="0"/>
            <wp:positionH relativeFrom="page">
              <wp:posOffset>482589</wp:posOffset>
            </wp:positionH>
            <wp:positionV relativeFrom="page">
              <wp:posOffset>2233785</wp:posOffset>
            </wp:positionV>
            <wp:extent cx="53621" cy="1316444"/>
            <wp:effectExtent l="0" t="0" r="0" b="0"/>
            <wp:wrapSquare wrapText="bothSides"/>
            <wp:docPr id="42041" name="Picture 42041"/>
            <wp:cNvGraphicFramePr/>
            <a:graphic xmlns:a="http://schemas.openxmlformats.org/drawingml/2006/main">
              <a:graphicData uri="http://schemas.openxmlformats.org/drawingml/2006/picture">
                <pic:pic xmlns:pic="http://schemas.openxmlformats.org/drawingml/2006/picture">
                  <pic:nvPicPr>
                    <pic:cNvPr id="42041" name="Picture 42041"/>
                    <pic:cNvPicPr/>
                  </pic:nvPicPr>
                  <pic:blipFill>
                    <a:blip r:embed="rId8"/>
                    <a:stretch>
                      <a:fillRect/>
                    </a:stretch>
                  </pic:blipFill>
                  <pic:spPr>
                    <a:xfrm>
                      <a:off x="0" y="0"/>
                      <a:ext cx="53621" cy="1316444"/>
                    </a:xfrm>
                    <a:prstGeom prst="rect">
                      <a:avLst/>
                    </a:prstGeom>
                  </pic:spPr>
                </pic:pic>
              </a:graphicData>
            </a:graphic>
          </wp:anchor>
        </w:drawing>
      </w:r>
      <w:r>
        <w:rPr>
          <w:noProof/>
        </w:rPr>
        <w:drawing>
          <wp:anchor distT="0" distB="0" distL="114300" distR="114300" simplePos="0" relativeHeight="251660288" behindDoc="0" locked="0" layoutInCell="1" allowOverlap="0" wp14:anchorId="6A8B2F07" wp14:editId="789819AC">
            <wp:simplePos x="0" y="0"/>
            <wp:positionH relativeFrom="page">
              <wp:posOffset>6994565</wp:posOffset>
            </wp:positionH>
            <wp:positionV relativeFrom="page">
              <wp:posOffset>8035669</wp:posOffset>
            </wp:positionV>
            <wp:extent cx="59579" cy="649287"/>
            <wp:effectExtent l="0" t="0" r="0" b="0"/>
            <wp:wrapSquare wrapText="bothSides"/>
            <wp:docPr id="42042" name="Picture 42042"/>
            <wp:cNvGraphicFramePr/>
            <a:graphic xmlns:a="http://schemas.openxmlformats.org/drawingml/2006/main">
              <a:graphicData uri="http://schemas.openxmlformats.org/drawingml/2006/picture">
                <pic:pic xmlns:pic="http://schemas.openxmlformats.org/drawingml/2006/picture">
                  <pic:nvPicPr>
                    <pic:cNvPr id="42042" name="Picture 42042"/>
                    <pic:cNvPicPr/>
                  </pic:nvPicPr>
                  <pic:blipFill>
                    <a:blip r:embed="rId9"/>
                    <a:stretch>
                      <a:fillRect/>
                    </a:stretch>
                  </pic:blipFill>
                  <pic:spPr>
                    <a:xfrm>
                      <a:off x="0" y="0"/>
                      <a:ext cx="59579" cy="649287"/>
                    </a:xfrm>
                    <a:prstGeom prst="rect">
                      <a:avLst/>
                    </a:prstGeom>
                  </pic:spPr>
                </pic:pic>
              </a:graphicData>
            </a:graphic>
          </wp:anchor>
        </w:drawing>
      </w:r>
      <w:r>
        <w:t>INFORME</w:t>
      </w:r>
    </w:p>
    <w:p w14:paraId="05C823D3" w14:textId="77777777" w:rsidR="001B5747" w:rsidRDefault="00434CAE">
      <w:pPr>
        <w:spacing w:after="84"/>
        <w:ind w:left="5" w:right="13"/>
      </w:pPr>
      <w:r>
        <w:t>PRIMERO. La Ley Orgánica 2/2012, de 27 de abril, de Estabilidad Presupuestaria y Sostenibilidad Financiera establece entre sus objetivos garantizar la estabilidad presupuestaria y sostenibilidad financiera de todas las Administraciones Públicas.</w:t>
      </w:r>
    </w:p>
    <w:p w14:paraId="6A130827" w14:textId="77777777" w:rsidR="001B5747" w:rsidRDefault="00434CAE">
      <w:pPr>
        <w:spacing w:after="0" w:line="259" w:lineRule="auto"/>
        <w:ind w:left="5"/>
      </w:pPr>
      <w:r>
        <w:rPr>
          <w:sz w:val="26"/>
        </w:rPr>
        <w:t>Por ello la aprobación y liquidación de los Presupuestos de las Entidades Locales deben realizarse bajo el cumplimiento de las llamadas tres reglas fiscales: la estabilidad presupuestaria, la regla del gasto y la deuda pública.</w:t>
      </w:r>
    </w:p>
    <w:p w14:paraId="772CAA57" w14:textId="77777777" w:rsidR="001B5747" w:rsidRDefault="00434CAE">
      <w:pPr>
        <w:ind w:left="5" w:right="13"/>
      </w:pPr>
      <w:r>
        <w:t>Sin embargo, con el objetivo de dotar a las Entidades Locales de fuentes de recursos suficientes para hacer frente a la pandemia y siguiendo las recomendaciones de la Comisión Europea que aplicó la cláusula general de salvaguarda del Pacto de Estabilidad y Crecimiento en 2020 y que prorrogará en 2021, el Consejo de ministros en fecha 6 de octubre de 2020 aprobó la suspensión de las tres reglas fiscales.</w:t>
      </w:r>
    </w:p>
    <w:p w14:paraId="078FB436" w14:textId="77777777" w:rsidR="001B5747" w:rsidRDefault="00434CAE">
      <w:pPr>
        <w:spacing w:after="106"/>
        <w:ind w:left="5" w:right="13"/>
      </w:pPr>
      <w:r>
        <w:t>Para ello, tal como dispone el artículo 135.4 de la Constitución Española y el artículo 11.3 de la Ley Orgánica 2/2012, de 27 de abril, de Estabilidad Presupuestaria y Sostenibilidad Financiera, solicitó en dicho acuerdo, que el Congreso apreciara por mayoría absoluta, si España se encuentra en situación de emergencia que permita adoptar esta medida excepcional.</w:t>
      </w:r>
    </w:p>
    <w:p w14:paraId="2F011E9C" w14:textId="77777777" w:rsidR="001B5747" w:rsidRDefault="00434CAE">
      <w:pPr>
        <w:spacing w:after="97"/>
        <w:ind w:left="5" w:right="13"/>
      </w:pPr>
      <w:r>
        <w:t xml:space="preserve">El 20 de octubre de 2020, el Pleno del Congreso de los Diputados aprobó por mayoría absoluta el acuerdo del Consejo de Ministros de 6 de octubre de 2020 por el que se solicita del Congreso de los Diputados la apreciación de que España está sufriendo una pandemia, lo que supone una situación de emergencia extraordinaria, con el fin de aplicar la </w:t>
      </w:r>
      <w:r>
        <w:lastRenderedPageBreak/>
        <w:t>previsión constitucional que permite en estos casos superar límites de déficit estructural y de volumen de deuda pública.</w:t>
      </w:r>
    </w:p>
    <w:p w14:paraId="590019D7" w14:textId="77777777" w:rsidR="001B5747" w:rsidRDefault="00434CAE">
      <w:pPr>
        <w:spacing w:after="42" w:line="259" w:lineRule="auto"/>
        <w:ind w:left="5"/>
      </w:pPr>
      <w:r>
        <w:rPr>
          <w:sz w:val="26"/>
        </w:rPr>
        <w:t>Con la apreciación adoptada por la mayoría absoluta del Congreso y con efectividad desde el mismo día en que se tomó el acuerdo, quedan suspendidos durante el ejercicio 2020 y 2021 los objetivos de estabilidad y deuda, así como la regla de gasto. De este modo, España deja en suspenso el camino de consolidación fiscal aprobada antes de la crisis sanitaria de la Covid-19. Así mismo, el Consejo de Ministros celebrado el 27 de julio de 2021 suspendió las reglas fiscales para el año 2022 y el Consejo de Ministro</w:t>
      </w:r>
      <w:r>
        <w:rPr>
          <w:sz w:val="26"/>
        </w:rPr>
        <w:t>s celebrado el 26 de julio de 2022 contempla su suspensión también para este año 2023.</w:t>
      </w:r>
    </w:p>
    <w:p w14:paraId="73EC3EC5" w14:textId="77777777" w:rsidR="001B5747" w:rsidRDefault="00434CAE">
      <w:pPr>
        <w:spacing w:after="101"/>
        <w:ind w:left="5" w:right="13"/>
      </w:pPr>
      <w:r>
        <w:t>No obstante, lo anterior, y en lo que se corresponde con la Estabilidad Presupuestaria, la suspensión de este objetivo va a significar que, si existe un incumplimiento del principio de estabilidad presupuestaria, no serán de aplicación las medidas previstas para los supuestos de incumplimiento, lo que supone principalmente que no sea necesaria la aprobación de un Plan Económico Financiero.</w:t>
      </w:r>
    </w:p>
    <w:p w14:paraId="4930FA76" w14:textId="77777777" w:rsidR="001B5747" w:rsidRDefault="00434CAE">
      <w:pPr>
        <w:spacing w:after="140"/>
        <w:ind w:left="5" w:right="13"/>
      </w:pPr>
      <w:r>
        <w:rPr>
          <w:noProof/>
        </w:rPr>
        <w:drawing>
          <wp:anchor distT="0" distB="0" distL="114300" distR="114300" simplePos="0" relativeHeight="251661312" behindDoc="0" locked="0" layoutInCell="1" allowOverlap="0" wp14:anchorId="7E1DDE88" wp14:editId="5AEEFBC5">
            <wp:simplePos x="0" y="0"/>
            <wp:positionH relativeFrom="page">
              <wp:posOffset>6994565</wp:posOffset>
            </wp:positionH>
            <wp:positionV relativeFrom="page">
              <wp:posOffset>8035669</wp:posOffset>
            </wp:positionV>
            <wp:extent cx="59579" cy="649287"/>
            <wp:effectExtent l="0" t="0" r="0" b="0"/>
            <wp:wrapSquare wrapText="bothSides"/>
            <wp:docPr id="45322" name="Picture 45322"/>
            <wp:cNvGraphicFramePr/>
            <a:graphic xmlns:a="http://schemas.openxmlformats.org/drawingml/2006/main">
              <a:graphicData uri="http://schemas.openxmlformats.org/drawingml/2006/picture">
                <pic:pic xmlns:pic="http://schemas.openxmlformats.org/drawingml/2006/picture">
                  <pic:nvPicPr>
                    <pic:cNvPr id="45322" name="Picture 45322"/>
                    <pic:cNvPicPr/>
                  </pic:nvPicPr>
                  <pic:blipFill>
                    <a:blip r:embed="rId9"/>
                    <a:stretch>
                      <a:fillRect/>
                    </a:stretch>
                  </pic:blipFill>
                  <pic:spPr>
                    <a:xfrm>
                      <a:off x="0" y="0"/>
                      <a:ext cx="59579" cy="649287"/>
                    </a:xfrm>
                    <a:prstGeom prst="rect">
                      <a:avLst/>
                    </a:prstGeom>
                  </pic:spPr>
                </pic:pic>
              </a:graphicData>
            </a:graphic>
          </wp:anchor>
        </w:drawing>
      </w:r>
      <w:r>
        <w:t>En cuanto al objetivo de deuda pública pese a su suspensión, dicha magnitud deberá medirse en términos de volumen de deuda viva y del límite de endeudamiento a efectos del régimen de autorización de nuevas operaciones de crédito establecido en los artículos 52 y 53 del Texto Refundido de la Ley Reguladora de las Haciendas Locales, aprobado por el Real Decreto Legislativo 2/2004, de 5 de marzo y la Disposición Final 31</w:t>
      </w:r>
      <w:r>
        <w:rPr>
          <w:vertAlign w:val="superscript"/>
        </w:rPr>
        <w:t xml:space="preserve">a </w:t>
      </w:r>
      <w:r>
        <w:t>de la Ley 17/2012, de 27 de diciembre, de presupuestos generales del Estado para el año 2</w:t>
      </w:r>
      <w:r>
        <w:t>013.</w:t>
      </w:r>
    </w:p>
    <w:p w14:paraId="7705541C" w14:textId="77777777" w:rsidR="001B5747" w:rsidRDefault="00434CAE">
      <w:pPr>
        <w:spacing w:after="82"/>
        <w:ind w:left="5" w:right="13"/>
      </w:pPr>
      <w:r>
        <w:t>Es decir la suspensión de las reglas fiscales no implica la suspensión de la aplicación de la Ley Orgánica 2/2012, de 27 de abril, de Estabilidad Presupuestaria y Sostenibilidad Financiera, del Texto Refundido de la Ley Reguladora de las Haciendas Locales, aprobado por el Real Decreto Legislativo 2/2004, de 5 de marzo ni del resto de la normativa hacendística, todas continúan en vigor, por ello, la Intervención local informará sobre la evaluación del principio de estabilidad presupuestaria en términos de ca</w:t>
      </w:r>
      <w:r>
        <w:t>pacidad o necesidad de financiación conforme al SEC-IO y de la sostenibilidad financiera en términos de deuda financiera con carácter independiente, con ocasión de la aprobación de la liquidación del presupuesto.</w:t>
      </w:r>
    </w:p>
    <w:p w14:paraId="2278AECF" w14:textId="77777777" w:rsidR="001B5747" w:rsidRDefault="00434CAE">
      <w:pPr>
        <w:spacing w:after="113"/>
        <w:ind w:left="5" w:right="13"/>
      </w:pPr>
      <w:r>
        <w:t>En lo que respecta a la REGLA DE GASTO, no debe evaluarse con motivo de la aprobación del presupuesto, siendo su límite de gasto no financiero el total de ingresos no financieros y la nivelación presupuestaria del TRLRL en cuanto a que los ingresos corrientes han de cubrir los gastos corrientes y los gastos de amortización de deuda.</w:t>
      </w:r>
    </w:p>
    <w:p w14:paraId="0AD6FFC3" w14:textId="77777777" w:rsidR="001B5747" w:rsidRDefault="00434CAE">
      <w:pPr>
        <w:spacing w:after="0" w:line="216" w:lineRule="auto"/>
        <w:ind w:left="9" w:right="9" w:firstLine="9"/>
      </w:pPr>
      <w:r>
        <w:rPr>
          <w:sz w:val="26"/>
          <w:u w:val="single" w:color="000000"/>
        </w:rPr>
        <w:t>Así. la suspensión de las reglas fiscales no supone que desaparezca la responsabilidad fiscal de cada una de las administraciones públicas a la que se refiere el artículo 8 de la referida Ley Orgánica 212012. como tampoco el principio de prudencia a la hora de ejecutar sus presupuestos.</w:t>
      </w:r>
    </w:p>
    <w:p w14:paraId="751E9708" w14:textId="77777777" w:rsidR="001B5747" w:rsidRDefault="00434CAE">
      <w:pPr>
        <w:spacing w:after="66" w:line="216" w:lineRule="auto"/>
        <w:ind w:left="9" w:right="9" w:firstLine="9"/>
      </w:pPr>
      <w:r>
        <w:t xml:space="preserve">Hay que tener en cuenta que para el ejercicio 2024 se reactivan las reglas fiscales y tal y como se expone en la guía publicada por el MINHAC "para las Entidades Locales </w:t>
      </w:r>
      <w:r>
        <w:t xml:space="preserve">se fija el objetivo del déficit del 0,0% del PIB para los tres ejercicios contemplados y de deuda pública del 1,4% para 2024 y del 1,3% para 2025 y 2026 y se establece la tasa de referencia de crecimiento del Producto Interior Bruto a medio plazo de la economía </w:t>
      </w:r>
      <w:r>
        <w:lastRenderedPageBreak/>
        <w:t xml:space="preserve">española, que limita la variación del gasto computable de las Administraciones </w:t>
      </w:r>
      <w:r>
        <w:t>Públicas, en el 2,6%, el 2,7% y el 2,8% para 2024, 2025 y 2026, respectivamente."</w:t>
      </w:r>
    </w:p>
    <w:p w14:paraId="3194FAC7" w14:textId="77777777" w:rsidR="001B5747" w:rsidRDefault="00434CAE">
      <w:pPr>
        <w:spacing w:after="464"/>
        <w:ind w:left="5" w:right="13"/>
      </w:pPr>
      <w:r>
        <w:t>Si bien, este Acuerdo todavía no ha sido ratificado por el Senado, por tanto, aún no está en vigor.</w:t>
      </w:r>
    </w:p>
    <w:p w14:paraId="3B657B49" w14:textId="77777777" w:rsidR="001B5747" w:rsidRDefault="00434CAE">
      <w:pPr>
        <w:spacing w:after="94" w:line="259" w:lineRule="auto"/>
        <w:ind w:left="14" w:hanging="10"/>
        <w:jc w:val="left"/>
      </w:pPr>
      <w:r>
        <w:rPr>
          <w:sz w:val="28"/>
        </w:rPr>
        <w:t>SEGUNDO. Legislación aplicable:</w:t>
      </w:r>
    </w:p>
    <w:p w14:paraId="3F3774F0" w14:textId="77777777" w:rsidR="001B5747" w:rsidRDefault="00434CAE">
      <w:pPr>
        <w:spacing w:after="104"/>
        <w:ind w:left="5" w:right="13"/>
      </w:pPr>
      <w:r>
        <w:rPr>
          <w:noProof/>
        </w:rPr>
        <w:drawing>
          <wp:inline distT="0" distB="0" distL="0" distR="0" wp14:anchorId="1D3D91DB" wp14:editId="5E113781">
            <wp:extent cx="148947" cy="11914"/>
            <wp:effectExtent l="0" t="0" r="0" b="0"/>
            <wp:docPr id="48406" name="Picture 48406"/>
            <wp:cNvGraphicFramePr/>
            <a:graphic xmlns:a="http://schemas.openxmlformats.org/drawingml/2006/main">
              <a:graphicData uri="http://schemas.openxmlformats.org/drawingml/2006/picture">
                <pic:pic xmlns:pic="http://schemas.openxmlformats.org/drawingml/2006/picture">
                  <pic:nvPicPr>
                    <pic:cNvPr id="48406" name="Picture 48406"/>
                    <pic:cNvPicPr/>
                  </pic:nvPicPr>
                  <pic:blipFill>
                    <a:blip r:embed="rId10"/>
                    <a:stretch>
                      <a:fillRect/>
                    </a:stretch>
                  </pic:blipFill>
                  <pic:spPr>
                    <a:xfrm>
                      <a:off x="0" y="0"/>
                      <a:ext cx="148947" cy="11914"/>
                    </a:xfrm>
                    <a:prstGeom prst="rect">
                      <a:avLst/>
                    </a:prstGeom>
                  </pic:spPr>
                </pic:pic>
              </a:graphicData>
            </a:graphic>
          </wp:inline>
        </w:drawing>
      </w:r>
      <w:r>
        <w:t xml:space="preserve"> Los artículos 3, 4 y 8 de la Ley Orgánica 2/2012, de 27 de abril, de Estabilidad Presupuestaria y Sostenibilidad Financiera.</w:t>
      </w:r>
    </w:p>
    <w:p w14:paraId="4D8DF7B9" w14:textId="77777777" w:rsidR="001B5747" w:rsidRDefault="00434CAE">
      <w:pPr>
        <w:ind w:left="5" w:right="13"/>
      </w:pPr>
      <w:r>
        <w:t>— El artículo 16.2 del Real Decreto 1463/2007, de 2 de noviembre, por el que se aprueba el Reglamento de Desarrollo de la Ley 18/2001, de 12 de noviembre, de Estabilidad Presupuestaria, en su Aplicación a las Entidades Locales.</w:t>
      </w:r>
    </w:p>
    <w:p w14:paraId="5A655A8F" w14:textId="77777777" w:rsidR="001B5747" w:rsidRDefault="00434CAE">
      <w:pPr>
        <w:spacing w:after="92"/>
        <w:ind w:left="5" w:right="13"/>
      </w:pPr>
      <w:r>
        <w:t>— Los artículos 51 a 53 del Texto Refundido de la Ley Reguladora de las Haciendas Locales, aprobado por el Real Decreto Legislativo 2/2004, de 5 de marzo.</w:t>
      </w:r>
    </w:p>
    <w:p w14:paraId="7D4FFE6E" w14:textId="77777777" w:rsidR="001B5747" w:rsidRDefault="00434CAE">
      <w:pPr>
        <w:spacing w:after="111"/>
        <w:ind w:left="5" w:right="13"/>
      </w:pPr>
      <w:r>
        <w:rPr>
          <w:noProof/>
        </w:rPr>
        <w:drawing>
          <wp:anchor distT="0" distB="0" distL="114300" distR="114300" simplePos="0" relativeHeight="251662336" behindDoc="0" locked="0" layoutInCell="1" allowOverlap="0" wp14:anchorId="558B2B80" wp14:editId="5710ACF5">
            <wp:simplePos x="0" y="0"/>
            <wp:positionH relativeFrom="page">
              <wp:posOffset>6994565</wp:posOffset>
            </wp:positionH>
            <wp:positionV relativeFrom="page">
              <wp:posOffset>8035669</wp:posOffset>
            </wp:positionV>
            <wp:extent cx="59579" cy="649287"/>
            <wp:effectExtent l="0" t="0" r="0" b="0"/>
            <wp:wrapSquare wrapText="bothSides"/>
            <wp:docPr id="48441" name="Picture 48441"/>
            <wp:cNvGraphicFramePr/>
            <a:graphic xmlns:a="http://schemas.openxmlformats.org/drawingml/2006/main">
              <a:graphicData uri="http://schemas.openxmlformats.org/drawingml/2006/picture">
                <pic:pic xmlns:pic="http://schemas.openxmlformats.org/drawingml/2006/picture">
                  <pic:nvPicPr>
                    <pic:cNvPr id="48441" name="Picture 48441"/>
                    <pic:cNvPicPr/>
                  </pic:nvPicPr>
                  <pic:blipFill>
                    <a:blip r:embed="rId9"/>
                    <a:stretch>
                      <a:fillRect/>
                    </a:stretch>
                  </pic:blipFill>
                  <pic:spPr>
                    <a:xfrm>
                      <a:off x="0" y="0"/>
                      <a:ext cx="59579" cy="649287"/>
                    </a:xfrm>
                    <a:prstGeom prst="rect">
                      <a:avLst/>
                    </a:prstGeom>
                  </pic:spPr>
                </pic:pic>
              </a:graphicData>
            </a:graphic>
          </wp:anchor>
        </w:drawing>
      </w:r>
      <w:r>
        <w:t>— La Disposición Final 31</w:t>
      </w:r>
      <w:r>
        <w:rPr>
          <w:vertAlign w:val="superscript"/>
        </w:rPr>
        <w:t xml:space="preserve">a </w:t>
      </w:r>
      <w:r>
        <w:t>de la Ley 17/2012, de 27 de diciembre, de presupuestos generales del Estado para el año 2013.</w:t>
      </w:r>
    </w:p>
    <w:p w14:paraId="00E0C40A" w14:textId="77777777" w:rsidR="001B5747" w:rsidRDefault="00434CAE">
      <w:pPr>
        <w:spacing w:after="98" w:line="216" w:lineRule="auto"/>
        <w:ind w:left="19" w:hanging="19"/>
        <w:jc w:val="left"/>
      </w:pPr>
      <w:r>
        <w:t xml:space="preserve">— El Reglamento (UE) N. </w:t>
      </w:r>
      <w:r>
        <w:rPr>
          <w:vertAlign w:val="superscript"/>
        </w:rPr>
        <w:t xml:space="preserve">0 </w:t>
      </w:r>
      <w:r>
        <w:t>549/2013 del Parlamento Europeo y del Consejo, de 21 de mayo de 2013, relativo al Sistema Europeo de Cuentas Nacionales y Regionales de la Unión Europea (SEC-IO).</w:t>
      </w:r>
    </w:p>
    <w:p w14:paraId="49CD73B2" w14:textId="77777777" w:rsidR="001B5747" w:rsidRDefault="00434CAE">
      <w:pPr>
        <w:spacing w:after="109"/>
        <w:ind w:left="5" w:right="13"/>
      </w:pPr>
      <w:r>
        <w:t>— Los artículos 4.I.b, 15.3.c, 15.4.e, de la Orden HAP/2105/2012, de I de octubre, por la que se desarrollan las obligaciones de suministro de información previstas en la Ley Orgánica 2/2012, de 27 de abril, de Estabilidad Presupuestaria y Sostenibilidad Financiera.</w:t>
      </w:r>
    </w:p>
    <w:p w14:paraId="69DC591E" w14:textId="77777777" w:rsidR="001B5747" w:rsidRDefault="00434CAE">
      <w:pPr>
        <w:spacing w:after="49" w:line="259" w:lineRule="auto"/>
        <w:ind w:left="5"/>
      </w:pPr>
      <w:r>
        <w:rPr>
          <w:sz w:val="26"/>
        </w:rPr>
        <w:t>— La Guía para la determinación de la Regla de Gasto del artículo 12 de la Ley Orgánica 2/2012, de Estabilidad Presupuestaria y Sostenibilidad Financiera para Corporaciones Locales (IGAE).</w:t>
      </w:r>
    </w:p>
    <w:p w14:paraId="4553B6F4" w14:textId="77777777" w:rsidR="001B5747" w:rsidRDefault="00434CAE">
      <w:pPr>
        <w:spacing w:after="460"/>
        <w:ind w:left="5" w:right="13"/>
      </w:pPr>
      <w:r>
        <w:t>— El Acuerdo del Consejo de Ministros, de 6 de octubre de 2020, en el que se solicita en el Congreso de los Diputados la apreciación de la situación de emergencia extraordinaria prevista al artículo 135.4 de la Constitución, que comporta la suspensión de las reglas fiscales para los ejercicios 2020 y 2021.</w:t>
      </w:r>
    </w:p>
    <w:p w14:paraId="379E8D6D" w14:textId="77777777" w:rsidR="001B5747" w:rsidRDefault="00434CAE">
      <w:pPr>
        <w:ind w:left="5" w:right="13"/>
      </w:pPr>
      <w:r>
        <w:t>TERCERO. El artículo 16 apartado I in fine y apartado 2 del Reglamento de desarrollo de la Ley 18/2001, de 12 de diciembre, de Estabilidad Presupuestaria, en su aplicación a las Entidades Locales aprobado por Real Decreto 1463/2007, de 2 de noviembre, establece que, la Intervención Local elevará al Pleno un informe sobre el cumplimiento del objetivo de estabilidad de la propia Entidad Local y de sus organismos y entidades dependientes.</w:t>
      </w:r>
    </w:p>
    <w:p w14:paraId="58A45FD2" w14:textId="77777777" w:rsidR="001B5747" w:rsidRDefault="00434CAE">
      <w:pPr>
        <w:spacing w:after="72"/>
        <w:ind w:left="5" w:right="13"/>
      </w:pPr>
      <w:r>
        <w:t>Este informe se emitirá con carácter independiente y se incorporará a los previstos en el artículo 191.3 en el supuesto de Informe para la aprobación de la Liquidación del Presupuesto del Texto Refundido de la Ley Reguladora de las Haciendas Locales, aprobado por Real Decreto Legislativo 2/2004, de 5 de marzo.</w:t>
      </w:r>
    </w:p>
    <w:p w14:paraId="34FCD13C" w14:textId="77777777" w:rsidR="001B5747" w:rsidRDefault="00434CAE">
      <w:pPr>
        <w:spacing w:after="495"/>
        <w:ind w:left="5" w:right="13"/>
      </w:pPr>
      <w:r>
        <w:t>En caso de que el resultado de la evaluación del objetivo de Estabilidad Presupuestaria o de la Regla del Gasto sea incumplimiento, la Entidad Local formulará un Plan Económico-Financiero de conformidad con Io dispuesto en los artículos 21 y 23 de la Ley Orgánica 2/2012, de 27 de abril, de Estabilidad Presupuestaria y Sostenibilidad Financiera.</w:t>
      </w:r>
    </w:p>
    <w:p w14:paraId="61F3AB62" w14:textId="77777777" w:rsidR="001B5747" w:rsidRDefault="00434CAE">
      <w:pPr>
        <w:spacing w:after="120"/>
        <w:ind w:left="5" w:right="13"/>
      </w:pPr>
      <w:r>
        <w:t>CUARTO. A pesar de que los objetivos de estabilidad, deuda pública y la regla de gasto, aprobados por el Gobierno el 11 de febrero de 2020 son inaplicables por estar aprobada su suspensión, a los Presupuestos de las Entidades Locales les sigue siendo de aplicación la normativa presupuestaria contenida en el Texto Refundido de la Ley Reguladora de las Haciendas Locales, aprobado por el Real Decreto Legislativo 2/2004, de 5 de marzo y su normativa de desarrollo y por tanto, el principio de estabilidad presupu</w:t>
      </w:r>
      <w:r>
        <w:t>estaria.</w:t>
      </w:r>
    </w:p>
    <w:p w14:paraId="5C02BE78" w14:textId="77777777" w:rsidR="001B5747" w:rsidRDefault="00434CAE">
      <w:pPr>
        <w:ind w:left="5" w:right="13"/>
      </w:pPr>
      <w:r>
        <w:t>Esto es debido a, que les es de aplicación el apartado 1 del referido artículo 165 del</w:t>
      </w:r>
    </w:p>
    <w:p w14:paraId="7051E2B3" w14:textId="77777777" w:rsidR="001B5747" w:rsidRDefault="00434CAE">
      <w:pPr>
        <w:spacing w:after="495"/>
        <w:ind w:left="5" w:right="13"/>
      </w:pPr>
      <w:r>
        <w:rPr>
          <w:noProof/>
        </w:rPr>
        <w:drawing>
          <wp:anchor distT="0" distB="0" distL="114300" distR="114300" simplePos="0" relativeHeight="251663360" behindDoc="0" locked="0" layoutInCell="1" allowOverlap="0" wp14:anchorId="35C81C94" wp14:editId="58FD30FB">
            <wp:simplePos x="0" y="0"/>
            <wp:positionH relativeFrom="page">
              <wp:posOffset>6994565</wp:posOffset>
            </wp:positionH>
            <wp:positionV relativeFrom="page">
              <wp:posOffset>8035669</wp:posOffset>
            </wp:positionV>
            <wp:extent cx="59579" cy="649287"/>
            <wp:effectExtent l="0" t="0" r="0" b="0"/>
            <wp:wrapSquare wrapText="bothSides"/>
            <wp:docPr id="51806" name="Picture 51806"/>
            <wp:cNvGraphicFramePr/>
            <a:graphic xmlns:a="http://schemas.openxmlformats.org/drawingml/2006/main">
              <a:graphicData uri="http://schemas.openxmlformats.org/drawingml/2006/picture">
                <pic:pic xmlns:pic="http://schemas.openxmlformats.org/drawingml/2006/picture">
                  <pic:nvPicPr>
                    <pic:cNvPr id="51806" name="Picture 51806"/>
                    <pic:cNvPicPr/>
                  </pic:nvPicPr>
                  <pic:blipFill>
                    <a:blip r:embed="rId9"/>
                    <a:stretch>
                      <a:fillRect/>
                    </a:stretch>
                  </pic:blipFill>
                  <pic:spPr>
                    <a:xfrm>
                      <a:off x="0" y="0"/>
                      <a:ext cx="59579" cy="649287"/>
                    </a:xfrm>
                    <a:prstGeom prst="rect">
                      <a:avLst/>
                    </a:prstGeom>
                  </pic:spPr>
                </pic:pic>
              </a:graphicData>
            </a:graphic>
          </wp:anchor>
        </w:drawing>
      </w:r>
      <w:r>
        <w:t>Texto Refundido de la Ley Reguladora de las Haciendas Locales, aprobado por el Real Decreto Legislativo 2/2004, de 5 de marzo , por el cual, el presupuesto general atenderá al cumplimiento del principio de estabilidad y el artículo 16 del Real Decreto 1463/2007, de 2 de noviembre, por el que se aprueba el Reglamento de Desarrollo de la Ley 18/2001, de 12 de noviembre, de Estabilidad Presupuestaria, en su aplicación a las Entidades Locales, por el que la Intervención local informará sobre la evaluación del p</w:t>
      </w:r>
      <w:r>
        <w:t>rincipio de estabilidad presupuestaria en términos de capacidad o necesidad de financiación conforme al SEC-IO con carácter independiente y se incorporará a los previstos en el artículo 191.3 del texto refundido de la Ley Reguladora de las Haciendas Locales, aprobado por el Real Decreto Legislativo 2/2004, de 5 de marzo, referidos respectivamente, a la aprobación del presupuesto general y a su liquidación. Dicho cálculo, que se realizará a efectos informativos, no surtirá ningún efecto durante los ejercicio</w:t>
      </w:r>
      <w:r>
        <w:t>s 2020, 2021, 2022 y 2023 por estar el objetivo de estabilidad presupuestaria suspendido.</w:t>
      </w:r>
    </w:p>
    <w:p w14:paraId="1072D674" w14:textId="77777777" w:rsidR="001B5747" w:rsidRDefault="00434CAE">
      <w:pPr>
        <w:spacing w:after="93"/>
        <w:ind w:left="5" w:right="13"/>
      </w:pPr>
      <w:r>
        <w:t>QUINTO. Igualmente les será de aplicación a los Presupuestos de las Entidades Locales el principio de sostenibilidad financiera, pues la suspensión de las reglas fiscales, en concreto del objetivo de deuda pública, no implica renunciar a la prudencia en la gestión financiera, siendo plenamente aplicable el principio de sostenibilidad financiera, en términos de deuda financiera.</w:t>
      </w:r>
    </w:p>
    <w:p w14:paraId="2099E97F" w14:textId="77777777" w:rsidR="001B5747" w:rsidRDefault="00434CAE">
      <w:pPr>
        <w:ind w:left="5" w:right="13"/>
      </w:pPr>
      <w:r>
        <w:t xml:space="preserve">La deuda financiera debe medirse en términos de volumen de deuda viva y del límite de endeudamiento a efectos del régimen de autorización de nuevas operaciones de crédito establecido en los artículos 52 y 53 del Texto Refundido de la Ley Reguladora de las Haciendas Locales, aprobado por el Real Decreto Legislativo 2/2004, de 5 de marzo y la Disposición Final 31. </w:t>
      </w:r>
      <w:r>
        <w:rPr>
          <w:vertAlign w:val="superscript"/>
        </w:rPr>
        <w:t xml:space="preserve">a </w:t>
      </w:r>
      <w:r>
        <w:t>de la Ley 17/2012, de 27 de diciembre, de presupuestos generales del Estado para el año 2013.</w:t>
      </w:r>
    </w:p>
    <w:p w14:paraId="4B9F804F" w14:textId="77777777" w:rsidR="001B5747" w:rsidRDefault="00434CAE">
      <w:pPr>
        <w:spacing w:after="107"/>
        <w:ind w:left="5" w:right="13"/>
      </w:pPr>
      <w:r>
        <w:t>A efectos de determinar el límite de endeudamiento, el total de la deuda viva a efectos del régimen de autorización se detalla en:</w:t>
      </w:r>
    </w:p>
    <w:p w14:paraId="410A2201" w14:textId="77777777" w:rsidR="001B5747" w:rsidRDefault="00434CAE">
      <w:pPr>
        <w:numPr>
          <w:ilvl w:val="0"/>
          <w:numId w:val="1"/>
        </w:numPr>
        <w:spacing w:after="8"/>
        <w:ind w:right="13" w:hanging="169"/>
      </w:pPr>
      <w:r>
        <w:t>Deuda a efectos del Protocolo de Déficit Excesivo, incluida la deuda a corto plazo y la deuda a largo plazo, desagregando entre: emisiones de deuda, operaciones con entidades de crédito, factoring sin recurso, deudas con administraciones Públicas (FFEL), arrendamiento financiero, asociaciones público-privadas, pagos aplazados con operaciones con terceros y otras operaciones de crédito.</w:t>
      </w:r>
    </w:p>
    <w:p w14:paraId="3CC748E5" w14:textId="77777777" w:rsidR="001B5747" w:rsidRDefault="00434CAE">
      <w:pPr>
        <w:numPr>
          <w:ilvl w:val="0"/>
          <w:numId w:val="1"/>
        </w:numPr>
        <w:spacing w:after="0" w:line="259" w:lineRule="auto"/>
        <w:ind w:right="13" w:hanging="169"/>
      </w:pPr>
      <w:r>
        <w:rPr>
          <w:sz w:val="26"/>
        </w:rPr>
        <w:t>Riesgo deducido de Avales.</w:t>
      </w:r>
    </w:p>
    <w:p w14:paraId="44444C70" w14:textId="77777777" w:rsidR="001B5747" w:rsidRDefault="00434CAE">
      <w:pPr>
        <w:numPr>
          <w:ilvl w:val="0"/>
          <w:numId w:val="1"/>
        </w:numPr>
        <w:ind w:right="13" w:hanging="169"/>
      </w:pPr>
      <w:r>
        <w:t>Operaciones formalizadas disponibles no dispuestas.</w:t>
      </w:r>
    </w:p>
    <w:p w14:paraId="0B3536F6" w14:textId="77777777" w:rsidR="001B5747" w:rsidRDefault="00434CAE">
      <w:pPr>
        <w:numPr>
          <w:ilvl w:val="0"/>
          <w:numId w:val="1"/>
        </w:numPr>
        <w:ind w:right="13" w:hanging="169"/>
      </w:pPr>
      <w:r>
        <w:t>Deuda con Administraciones públicas distinta a la incluida en el FFEL.</w:t>
      </w:r>
    </w:p>
    <w:p w14:paraId="138A3FC8" w14:textId="77777777" w:rsidR="001B5747" w:rsidRDefault="00434CAE">
      <w:pPr>
        <w:numPr>
          <w:ilvl w:val="0"/>
          <w:numId w:val="1"/>
        </w:numPr>
        <w:ind w:right="13" w:hanging="169"/>
      </w:pPr>
      <w:r>
        <w:t>Importe de operaciones proyectadas o formalizadas.</w:t>
      </w:r>
    </w:p>
    <w:p w14:paraId="39BD88EA" w14:textId="77777777" w:rsidR="001B5747" w:rsidRDefault="00434CAE">
      <w:pPr>
        <w:numPr>
          <w:ilvl w:val="0"/>
          <w:numId w:val="1"/>
        </w:numPr>
        <w:spacing w:after="73" w:line="259" w:lineRule="auto"/>
        <w:ind w:right="13" w:hanging="169"/>
      </w:pPr>
      <w:r>
        <w:rPr>
          <w:sz w:val="26"/>
        </w:rPr>
        <w:t>Otras deudas.</w:t>
      </w:r>
    </w:p>
    <w:p w14:paraId="373A47C2" w14:textId="77777777" w:rsidR="001B5747" w:rsidRDefault="00434CAE">
      <w:pPr>
        <w:spacing w:after="425"/>
        <w:ind w:left="5" w:right="13"/>
      </w:pPr>
      <w:r>
        <w:rPr>
          <w:noProof/>
        </w:rPr>
        <w:drawing>
          <wp:anchor distT="0" distB="0" distL="114300" distR="114300" simplePos="0" relativeHeight="251664384" behindDoc="0" locked="0" layoutInCell="1" allowOverlap="0" wp14:anchorId="044CF783" wp14:editId="17C00667">
            <wp:simplePos x="0" y="0"/>
            <wp:positionH relativeFrom="page">
              <wp:posOffset>6994565</wp:posOffset>
            </wp:positionH>
            <wp:positionV relativeFrom="page">
              <wp:posOffset>8035669</wp:posOffset>
            </wp:positionV>
            <wp:extent cx="59579" cy="649287"/>
            <wp:effectExtent l="0" t="0" r="0" b="0"/>
            <wp:wrapTopAndBottom/>
            <wp:docPr id="54959" name="Picture 54959"/>
            <wp:cNvGraphicFramePr/>
            <a:graphic xmlns:a="http://schemas.openxmlformats.org/drawingml/2006/main">
              <a:graphicData uri="http://schemas.openxmlformats.org/drawingml/2006/picture">
                <pic:pic xmlns:pic="http://schemas.openxmlformats.org/drawingml/2006/picture">
                  <pic:nvPicPr>
                    <pic:cNvPr id="54959" name="Picture 54959"/>
                    <pic:cNvPicPr/>
                  </pic:nvPicPr>
                  <pic:blipFill>
                    <a:blip r:embed="rId9"/>
                    <a:stretch>
                      <a:fillRect/>
                    </a:stretch>
                  </pic:blipFill>
                  <pic:spPr>
                    <a:xfrm>
                      <a:off x="0" y="0"/>
                      <a:ext cx="59579" cy="649287"/>
                    </a:xfrm>
                    <a:prstGeom prst="rect">
                      <a:avLst/>
                    </a:prstGeom>
                  </pic:spPr>
                </pic:pic>
              </a:graphicData>
            </a:graphic>
          </wp:anchor>
        </w:drawing>
      </w:r>
      <w:r>
        <w:t>Dicho cálculo de la deuda financiera, tal y como dispone el artículo 15 de la Orden HAP/2105/2012, de 1 de octubre, por la que se desarrollan las obligaciones de suministro de información previstas en la Ley Orgánica 2/2012, de 27 de abril, de Estabilidad Presupuestaria y Sostenibilidad Financiera, debe efectuarse anualmente, con ocasión de la aprobación del presupuesto y su liquidación.</w:t>
      </w:r>
    </w:p>
    <w:p w14:paraId="51DFB3A5" w14:textId="77777777" w:rsidR="001B5747" w:rsidRDefault="00434CAE">
      <w:pPr>
        <w:spacing w:after="34" w:line="259" w:lineRule="auto"/>
        <w:ind w:left="5"/>
      </w:pPr>
      <w:r>
        <w:rPr>
          <w:sz w:val="26"/>
        </w:rPr>
        <w:t>SEXTO. Entidades que forma el Perímetro de Consolidación.</w:t>
      </w:r>
    </w:p>
    <w:p w14:paraId="0DFB9670" w14:textId="77777777" w:rsidR="001B5747" w:rsidRDefault="00434CAE">
      <w:pPr>
        <w:spacing w:after="515"/>
        <w:ind w:left="5" w:right="13"/>
      </w:pPr>
      <w:r>
        <w:t>El perímetro de consolidación de este Municipio está formado solamente por el propio Ayuntamiento.</w:t>
      </w:r>
    </w:p>
    <w:p w14:paraId="07C703D5" w14:textId="77777777" w:rsidR="001B5747" w:rsidRDefault="00434CAE">
      <w:pPr>
        <w:spacing w:after="0" w:line="259" w:lineRule="auto"/>
        <w:ind w:left="5"/>
      </w:pPr>
      <w:r>
        <w:rPr>
          <w:sz w:val="26"/>
        </w:rPr>
        <w:t>SÉPTIMO. Cálculo de la Estabilidad Presupuestaria.</w:t>
      </w:r>
    </w:p>
    <w:p w14:paraId="78EABE3E" w14:textId="77777777" w:rsidR="001B5747" w:rsidRDefault="00434CAE">
      <w:pPr>
        <w:spacing w:after="91"/>
        <w:ind w:left="5" w:right="13"/>
      </w:pPr>
      <w:r>
        <w:t>La estabilidad presupuestaria, se identifica con una situación de equilibrio o superávit computada, a lo largo del ciclo económico, en términos de capacidad de financiación de acuerdo con la definición contenida en el Sistema Europeo de Cuentas Nacionales y Regionales (SEC-IO).</w:t>
      </w:r>
    </w:p>
    <w:p w14:paraId="609155BF" w14:textId="77777777" w:rsidR="001B5747" w:rsidRDefault="00434CAE">
      <w:pPr>
        <w:ind w:left="5" w:right="13"/>
      </w:pPr>
      <w:r>
        <w:t>El cálculo de la variable capacidad de financiación en el marco de las Entidades Locales, en términos presupuestarios SEC-IO y obviando ciertos matices de contabilización, se obtiene, a nivel consolidado, de la diferencia entre los Capítulos I a 7 del Presupuesto de Ingresos y los Capítulos I a 7 del Presupuesto de Gastos:</w:t>
      </w:r>
    </w:p>
    <w:tbl>
      <w:tblPr>
        <w:tblStyle w:val="TableGrid"/>
        <w:tblW w:w="6687" w:type="dxa"/>
        <w:tblInd w:w="14" w:type="dxa"/>
        <w:tblCellMar>
          <w:top w:w="2" w:type="dxa"/>
          <w:left w:w="69" w:type="dxa"/>
          <w:bottom w:w="0" w:type="dxa"/>
          <w:right w:w="66" w:type="dxa"/>
        </w:tblCellMar>
        <w:tblLook w:val="04A0" w:firstRow="1" w:lastRow="0" w:firstColumn="1" w:lastColumn="0" w:noHBand="0" w:noVBand="1"/>
      </w:tblPr>
      <w:tblGrid>
        <w:gridCol w:w="1450"/>
        <w:gridCol w:w="3667"/>
        <w:gridCol w:w="1570"/>
      </w:tblGrid>
      <w:tr w:rsidR="001B5747" w14:paraId="29BFB755" w14:textId="77777777">
        <w:trPr>
          <w:trHeight w:val="232"/>
        </w:trPr>
        <w:tc>
          <w:tcPr>
            <w:tcW w:w="6687" w:type="dxa"/>
            <w:gridSpan w:val="3"/>
            <w:tcBorders>
              <w:top w:val="single" w:sz="2" w:space="0" w:color="000000"/>
              <w:left w:val="single" w:sz="2" w:space="0" w:color="000000"/>
              <w:bottom w:val="single" w:sz="2" w:space="0" w:color="000000"/>
              <w:right w:val="single" w:sz="2" w:space="0" w:color="000000"/>
            </w:tcBorders>
          </w:tcPr>
          <w:p w14:paraId="429358BA" w14:textId="77777777" w:rsidR="001B5747" w:rsidRDefault="00434CAE">
            <w:pPr>
              <w:spacing w:after="0" w:line="259" w:lineRule="auto"/>
              <w:ind w:firstLine="0"/>
              <w:jc w:val="center"/>
            </w:pPr>
            <w:r>
              <w:rPr>
                <w:sz w:val="26"/>
              </w:rPr>
              <w:t>CUADRO ESTABILIDAD PRESUPUESTARIA</w:t>
            </w:r>
          </w:p>
        </w:tc>
      </w:tr>
      <w:tr w:rsidR="001B5747" w14:paraId="1B77DA93" w14:textId="77777777">
        <w:trPr>
          <w:trHeight w:val="225"/>
        </w:trPr>
        <w:tc>
          <w:tcPr>
            <w:tcW w:w="1193" w:type="dxa"/>
            <w:tcBorders>
              <w:top w:val="single" w:sz="2" w:space="0" w:color="000000"/>
              <w:left w:val="single" w:sz="2" w:space="0" w:color="000000"/>
              <w:bottom w:val="single" w:sz="2" w:space="0" w:color="000000"/>
              <w:right w:val="single" w:sz="2" w:space="0" w:color="000000"/>
            </w:tcBorders>
          </w:tcPr>
          <w:p w14:paraId="3AE8F09A" w14:textId="77777777" w:rsidR="001B5747" w:rsidRDefault="00434CAE">
            <w:pPr>
              <w:spacing w:after="0" w:line="259" w:lineRule="auto"/>
              <w:ind w:left="29" w:firstLine="0"/>
            </w:pPr>
            <w:r>
              <w:rPr>
                <w:sz w:val="26"/>
              </w:rPr>
              <w:t>CAPITULO</w:t>
            </w:r>
          </w:p>
        </w:tc>
        <w:tc>
          <w:tcPr>
            <w:tcW w:w="3991" w:type="dxa"/>
            <w:tcBorders>
              <w:top w:val="single" w:sz="2" w:space="0" w:color="000000"/>
              <w:left w:val="single" w:sz="2" w:space="0" w:color="000000"/>
              <w:bottom w:val="single" w:sz="2" w:space="0" w:color="000000"/>
              <w:right w:val="single" w:sz="2" w:space="0" w:color="000000"/>
            </w:tcBorders>
          </w:tcPr>
          <w:p w14:paraId="15630AAE" w14:textId="77777777" w:rsidR="001B5747" w:rsidRDefault="00434CAE">
            <w:pPr>
              <w:spacing w:after="0" w:line="259" w:lineRule="auto"/>
              <w:ind w:left="12" w:firstLine="0"/>
              <w:jc w:val="center"/>
            </w:pPr>
            <w:r>
              <w:rPr>
                <w:sz w:val="26"/>
              </w:rPr>
              <w:t>ESTADO DE INGRESOS</w:t>
            </w:r>
          </w:p>
        </w:tc>
        <w:tc>
          <w:tcPr>
            <w:tcW w:w="1504" w:type="dxa"/>
            <w:tcBorders>
              <w:top w:val="single" w:sz="2" w:space="0" w:color="000000"/>
              <w:left w:val="single" w:sz="2" w:space="0" w:color="000000"/>
              <w:bottom w:val="single" w:sz="2" w:space="0" w:color="000000"/>
              <w:right w:val="single" w:sz="2" w:space="0" w:color="000000"/>
            </w:tcBorders>
          </w:tcPr>
          <w:p w14:paraId="139D7AAC" w14:textId="77777777" w:rsidR="001B5747" w:rsidRDefault="00434CAE">
            <w:pPr>
              <w:spacing w:after="0" w:line="259" w:lineRule="auto"/>
              <w:ind w:left="0" w:right="4" w:firstLine="0"/>
              <w:jc w:val="center"/>
            </w:pPr>
            <w:r>
              <w:t>IMPORTE</w:t>
            </w:r>
          </w:p>
        </w:tc>
      </w:tr>
      <w:tr w:rsidR="001B5747" w14:paraId="5675D97D" w14:textId="77777777">
        <w:trPr>
          <w:trHeight w:val="220"/>
        </w:trPr>
        <w:tc>
          <w:tcPr>
            <w:tcW w:w="1193" w:type="dxa"/>
            <w:tcBorders>
              <w:top w:val="single" w:sz="2" w:space="0" w:color="000000"/>
              <w:left w:val="single" w:sz="2" w:space="0" w:color="000000"/>
              <w:bottom w:val="single" w:sz="2" w:space="0" w:color="000000"/>
              <w:right w:val="single" w:sz="2" w:space="0" w:color="000000"/>
            </w:tcBorders>
          </w:tcPr>
          <w:p w14:paraId="6008F4D2" w14:textId="77777777" w:rsidR="001B5747" w:rsidRDefault="001B57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52A4F7B3" w14:textId="77777777" w:rsidR="001B5747" w:rsidRDefault="00434CAE">
            <w:pPr>
              <w:spacing w:after="0" w:line="259" w:lineRule="auto"/>
              <w:ind w:left="9" w:firstLine="0"/>
              <w:jc w:val="left"/>
            </w:pPr>
            <w:r>
              <w:rPr>
                <w:sz w:val="22"/>
              </w:rPr>
              <w:t>lm uestos Directos</w:t>
            </w:r>
          </w:p>
        </w:tc>
        <w:tc>
          <w:tcPr>
            <w:tcW w:w="1504" w:type="dxa"/>
            <w:tcBorders>
              <w:top w:val="single" w:sz="2" w:space="0" w:color="000000"/>
              <w:left w:val="single" w:sz="2" w:space="0" w:color="000000"/>
              <w:bottom w:val="single" w:sz="2" w:space="0" w:color="000000"/>
              <w:right w:val="single" w:sz="2" w:space="0" w:color="000000"/>
            </w:tcBorders>
          </w:tcPr>
          <w:p w14:paraId="1DBF7EF2" w14:textId="77777777" w:rsidR="001B5747" w:rsidRDefault="00434CAE">
            <w:pPr>
              <w:spacing w:after="0" w:line="259" w:lineRule="auto"/>
              <w:ind w:left="175" w:firstLine="0"/>
              <w:jc w:val="left"/>
            </w:pPr>
            <w:r>
              <w:t>1.133.762,79</w:t>
            </w:r>
          </w:p>
        </w:tc>
      </w:tr>
      <w:tr w:rsidR="001B5747" w14:paraId="09C2BBB8" w14:textId="77777777">
        <w:trPr>
          <w:trHeight w:val="220"/>
        </w:trPr>
        <w:tc>
          <w:tcPr>
            <w:tcW w:w="1193" w:type="dxa"/>
            <w:tcBorders>
              <w:top w:val="single" w:sz="2" w:space="0" w:color="000000"/>
              <w:left w:val="single" w:sz="2" w:space="0" w:color="000000"/>
              <w:bottom w:val="single" w:sz="2" w:space="0" w:color="000000"/>
              <w:right w:val="single" w:sz="2" w:space="0" w:color="000000"/>
            </w:tcBorders>
          </w:tcPr>
          <w:p w14:paraId="02256682" w14:textId="77777777" w:rsidR="001B5747" w:rsidRDefault="001B57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6FDA3163" w14:textId="77777777" w:rsidR="001B5747" w:rsidRDefault="00434CAE">
            <w:pPr>
              <w:spacing w:after="0" w:line="259" w:lineRule="auto"/>
              <w:ind w:left="9" w:firstLine="0"/>
              <w:jc w:val="left"/>
            </w:pPr>
            <w:r>
              <w:rPr>
                <w:sz w:val="22"/>
              </w:rPr>
              <w:t>lm uestos Indirectos</w:t>
            </w:r>
          </w:p>
        </w:tc>
        <w:tc>
          <w:tcPr>
            <w:tcW w:w="1504" w:type="dxa"/>
            <w:tcBorders>
              <w:top w:val="single" w:sz="2" w:space="0" w:color="000000"/>
              <w:left w:val="single" w:sz="2" w:space="0" w:color="000000"/>
              <w:bottom w:val="single" w:sz="2" w:space="0" w:color="000000"/>
              <w:right w:val="single" w:sz="2" w:space="0" w:color="000000"/>
            </w:tcBorders>
          </w:tcPr>
          <w:p w14:paraId="20A58A98" w14:textId="77777777" w:rsidR="001B5747" w:rsidRDefault="00434CAE">
            <w:pPr>
              <w:spacing w:after="0" w:line="259" w:lineRule="auto"/>
              <w:ind w:left="0" w:right="9" w:firstLine="0"/>
              <w:jc w:val="right"/>
            </w:pPr>
            <w:r>
              <w:rPr>
                <w:sz w:val="22"/>
              </w:rPr>
              <w:t>21.355,67</w:t>
            </w:r>
          </w:p>
        </w:tc>
      </w:tr>
      <w:tr w:rsidR="001B5747" w14:paraId="3C9E24C8" w14:textId="77777777">
        <w:trPr>
          <w:trHeight w:val="215"/>
        </w:trPr>
        <w:tc>
          <w:tcPr>
            <w:tcW w:w="1193" w:type="dxa"/>
            <w:tcBorders>
              <w:top w:val="single" w:sz="2" w:space="0" w:color="000000"/>
              <w:left w:val="single" w:sz="2" w:space="0" w:color="000000"/>
              <w:bottom w:val="single" w:sz="2" w:space="0" w:color="000000"/>
              <w:right w:val="single" w:sz="2" w:space="0" w:color="000000"/>
            </w:tcBorders>
          </w:tcPr>
          <w:p w14:paraId="0EA834CC" w14:textId="77777777" w:rsidR="001B5747" w:rsidRDefault="00434CAE">
            <w:pPr>
              <w:spacing w:after="0" w:line="259" w:lineRule="auto"/>
              <w:ind w:left="7" w:firstLine="0"/>
              <w:jc w:val="center"/>
            </w:pPr>
            <w:r>
              <w:t>III</w:t>
            </w:r>
          </w:p>
        </w:tc>
        <w:tc>
          <w:tcPr>
            <w:tcW w:w="3991" w:type="dxa"/>
            <w:tcBorders>
              <w:top w:val="single" w:sz="2" w:space="0" w:color="000000"/>
              <w:left w:val="single" w:sz="2" w:space="0" w:color="000000"/>
              <w:bottom w:val="single" w:sz="2" w:space="0" w:color="000000"/>
              <w:right w:val="single" w:sz="2" w:space="0" w:color="000000"/>
            </w:tcBorders>
          </w:tcPr>
          <w:p w14:paraId="65FE3D5D" w14:textId="77777777" w:rsidR="001B5747" w:rsidRDefault="00434CAE">
            <w:pPr>
              <w:spacing w:after="0" w:line="259" w:lineRule="auto"/>
              <w:ind w:left="0" w:firstLine="0"/>
              <w:jc w:val="left"/>
            </w:pPr>
            <w:r>
              <w:rPr>
                <w:sz w:val="22"/>
              </w:rPr>
              <w:t>Tasas Otros In resos</w:t>
            </w:r>
          </w:p>
        </w:tc>
        <w:tc>
          <w:tcPr>
            <w:tcW w:w="1504" w:type="dxa"/>
            <w:tcBorders>
              <w:top w:val="single" w:sz="2" w:space="0" w:color="000000"/>
              <w:left w:val="single" w:sz="2" w:space="0" w:color="000000"/>
              <w:bottom w:val="single" w:sz="2" w:space="0" w:color="000000"/>
              <w:right w:val="single" w:sz="2" w:space="0" w:color="000000"/>
            </w:tcBorders>
          </w:tcPr>
          <w:p w14:paraId="65850F05" w14:textId="77777777" w:rsidR="001B5747" w:rsidRDefault="00434CAE">
            <w:pPr>
              <w:spacing w:after="0" w:line="259" w:lineRule="auto"/>
              <w:ind w:left="344" w:firstLine="0"/>
              <w:jc w:val="left"/>
            </w:pPr>
            <w:r>
              <w:rPr>
                <w:sz w:val="22"/>
              </w:rPr>
              <w:t>744.781,07</w:t>
            </w:r>
          </w:p>
        </w:tc>
      </w:tr>
      <w:tr w:rsidR="001B5747" w14:paraId="33C320AC" w14:textId="77777777">
        <w:trPr>
          <w:trHeight w:val="226"/>
        </w:trPr>
        <w:tc>
          <w:tcPr>
            <w:tcW w:w="1193" w:type="dxa"/>
            <w:tcBorders>
              <w:top w:val="single" w:sz="2" w:space="0" w:color="000000"/>
              <w:left w:val="single" w:sz="2" w:space="0" w:color="000000"/>
              <w:bottom w:val="single" w:sz="2" w:space="0" w:color="000000"/>
              <w:right w:val="single" w:sz="2" w:space="0" w:color="000000"/>
            </w:tcBorders>
          </w:tcPr>
          <w:p w14:paraId="19F5F110" w14:textId="77777777" w:rsidR="001B5747" w:rsidRDefault="001B57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0B2DB594" w14:textId="77777777" w:rsidR="001B5747" w:rsidRDefault="00434CAE">
            <w:pPr>
              <w:spacing w:after="0" w:line="259" w:lineRule="auto"/>
              <w:ind w:left="0" w:firstLine="0"/>
              <w:jc w:val="left"/>
            </w:pPr>
            <w:r>
              <w:rPr>
                <w:sz w:val="22"/>
              </w:rPr>
              <w:t>Transferencias Corrientes</w:t>
            </w:r>
          </w:p>
        </w:tc>
        <w:tc>
          <w:tcPr>
            <w:tcW w:w="1504" w:type="dxa"/>
            <w:tcBorders>
              <w:top w:val="single" w:sz="2" w:space="0" w:color="000000"/>
              <w:left w:val="single" w:sz="2" w:space="0" w:color="000000"/>
              <w:bottom w:val="single" w:sz="2" w:space="0" w:color="000000"/>
              <w:right w:val="single" w:sz="2" w:space="0" w:color="000000"/>
            </w:tcBorders>
          </w:tcPr>
          <w:p w14:paraId="739B9C2B" w14:textId="77777777" w:rsidR="001B5747" w:rsidRDefault="00434CAE">
            <w:pPr>
              <w:spacing w:after="0" w:line="259" w:lineRule="auto"/>
              <w:ind w:left="0" w:firstLine="0"/>
              <w:jc w:val="right"/>
            </w:pPr>
            <w:r>
              <w:rPr>
                <w:sz w:val="22"/>
              </w:rPr>
              <w:t>5.484.850,56</w:t>
            </w:r>
          </w:p>
        </w:tc>
      </w:tr>
      <w:tr w:rsidR="001B5747" w14:paraId="4EABD52F" w14:textId="77777777">
        <w:trPr>
          <w:trHeight w:val="220"/>
        </w:trPr>
        <w:tc>
          <w:tcPr>
            <w:tcW w:w="1193" w:type="dxa"/>
            <w:tcBorders>
              <w:top w:val="single" w:sz="2" w:space="0" w:color="000000"/>
              <w:left w:val="single" w:sz="2" w:space="0" w:color="000000"/>
              <w:bottom w:val="single" w:sz="2" w:space="0" w:color="000000"/>
              <w:right w:val="single" w:sz="2" w:space="0" w:color="000000"/>
            </w:tcBorders>
          </w:tcPr>
          <w:p w14:paraId="5FC9347C" w14:textId="77777777" w:rsidR="001B5747" w:rsidRDefault="001B57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44EF5642" w14:textId="77777777" w:rsidR="001B5747" w:rsidRDefault="00434CAE">
            <w:pPr>
              <w:spacing w:after="0" w:line="259" w:lineRule="auto"/>
              <w:ind w:left="9" w:firstLine="0"/>
              <w:jc w:val="left"/>
            </w:pPr>
            <w:r>
              <w:rPr>
                <w:sz w:val="22"/>
              </w:rPr>
              <w:t>In resos Patrimoniales</w:t>
            </w:r>
          </w:p>
        </w:tc>
        <w:tc>
          <w:tcPr>
            <w:tcW w:w="1504" w:type="dxa"/>
            <w:tcBorders>
              <w:top w:val="single" w:sz="2" w:space="0" w:color="000000"/>
              <w:left w:val="single" w:sz="2" w:space="0" w:color="000000"/>
              <w:bottom w:val="single" w:sz="2" w:space="0" w:color="000000"/>
              <w:right w:val="single" w:sz="2" w:space="0" w:color="000000"/>
            </w:tcBorders>
          </w:tcPr>
          <w:p w14:paraId="2CCCFA52" w14:textId="77777777" w:rsidR="001B5747" w:rsidRDefault="00434CAE">
            <w:pPr>
              <w:spacing w:after="0" w:line="259" w:lineRule="auto"/>
              <w:ind w:left="0" w:firstLine="0"/>
              <w:jc w:val="right"/>
            </w:pPr>
            <w:r>
              <w:rPr>
                <w:sz w:val="22"/>
              </w:rPr>
              <w:t>35.695,79</w:t>
            </w:r>
          </w:p>
        </w:tc>
      </w:tr>
      <w:tr w:rsidR="001B5747" w14:paraId="711F5770" w14:textId="77777777">
        <w:trPr>
          <w:trHeight w:val="222"/>
        </w:trPr>
        <w:tc>
          <w:tcPr>
            <w:tcW w:w="1193" w:type="dxa"/>
            <w:tcBorders>
              <w:top w:val="single" w:sz="2" w:space="0" w:color="000000"/>
              <w:left w:val="single" w:sz="2" w:space="0" w:color="000000"/>
              <w:bottom w:val="single" w:sz="2" w:space="0" w:color="000000"/>
              <w:right w:val="single" w:sz="2" w:space="0" w:color="000000"/>
            </w:tcBorders>
          </w:tcPr>
          <w:p w14:paraId="311E4B29" w14:textId="77777777" w:rsidR="001B5747" w:rsidRDefault="001B57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72362AA0" w14:textId="77777777" w:rsidR="001B5747" w:rsidRDefault="00434CAE">
            <w:pPr>
              <w:spacing w:after="0" w:line="259" w:lineRule="auto"/>
              <w:ind w:left="9" w:firstLine="0"/>
              <w:jc w:val="left"/>
            </w:pPr>
            <w:r>
              <w:rPr>
                <w:sz w:val="22"/>
              </w:rPr>
              <w:t>Ena'enación Inversiones Reales</w:t>
            </w:r>
          </w:p>
        </w:tc>
        <w:tc>
          <w:tcPr>
            <w:tcW w:w="1504" w:type="dxa"/>
            <w:tcBorders>
              <w:top w:val="single" w:sz="2" w:space="0" w:color="000000"/>
              <w:left w:val="single" w:sz="2" w:space="0" w:color="000000"/>
              <w:bottom w:val="single" w:sz="2" w:space="0" w:color="000000"/>
              <w:right w:val="single" w:sz="2" w:space="0" w:color="000000"/>
            </w:tcBorders>
          </w:tcPr>
          <w:p w14:paraId="230E27F3" w14:textId="77777777" w:rsidR="001B5747" w:rsidRDefault="00434CAE">
            <w:pPr>
              <w:spacing w:after="0" w:line="259" w:lineRule="auto"/>
              <w:ind w:left="0" w:firstLine="0"/>
              <w:jc w:val="right"/>
            </w:pPr>
            <w:r>
              <w:rPr>
                <w:sz w:val="22"/>
              </w:rPr>
              <w:t>0,00</w:t>
            </w:r>
          </w:p>
        </w:tc>
      </w:tr>
      <w:tr w:rsidR="001B5747" w14:paraId="1176135F" w14:textId="77777777">
        <w:trPr>
          <w:trHeight w:val="213"/>
        </w:trPr>
        <w:tc>
          <w:tcPr>
            <w:tcW w:w="1193" w:type="dxa"/>
            <w:tcBorders>
              <w:top w:val="single" w:sz="2" w:space="0" w:color="000000"/>
              <w:left w:val="single" w:sz="2" w:space="0" w:color="000000"/>
              <w:bottom w:val="single" w:sz="2" w:space="0" w:color="000000"/>
              <w:right w:val="single" w:sz="2" w:space="0" w:color="000000"/>
            </w:tcBorders>
          </w:tcPr>
          <w:p w14:paraId="5A6A4C70" w14:textId="77777777" w:rsidR="001B5747" w:rsidRDefault="00434CAE">
            <w:pPr>
              <w:spacing w:after="0" w:line="259" w:lineRule="auto"/>
              <w:ind w:left="0" w:right="12" w:firstLine="0"/>
              <w:jc w:val="center"/>
            </w:pPr>
            <w:r>
              <w:rPr>
                <w:sz w:val="22"/>
              </w:rPr>
              <w:t>VII</w:t>
            </w:r>
          </w:p>
        </w:tc>
        <w:tc>
          <w:tcPr>
            <w:tcW w:w="3991" w:type="dxa"/>
            <w:tcBorders>
              <w:top w:val="single" w:sz="2" w:space="0" w:color="000000"/>
              <w:left w:val="single" w:sz="2" w:space="0" w:color="000000"/>
              <w:bottom w:val="single" w:sz="2" w:space="0" w:color="000000"/>
              <w:right w:val="single" w:sz="2" w:space="0" w:color="000000"/>
            </w:tcBorders>
          </w:tcPr>
          <w:p w14:paraId="3B033C21" w14:textId="77777777" w:rsidR="001B5747" w:rsidRDefault="00434CAE">
            <w:pPr>
              <w:spacing w:after="0" w:line="259" w:lineRule="auto"/>
              <w:ind w:left="0" w:firstLine="0"/>
              <w:jc w:val="left"/>
            </w:pPr>
            <w:r>
              <w:rPr>
                <w:sz w:val="22"/>
              </w:rPr>
              <w:t>Transferencias de Ca ital</w:t>
            </w:r>
          </w:p>
        </w:tc>
        <w:tc>
          <w:tcPr>
            <w:tcW w:w="1504" w:type="dxa"/>
            <w:tcBorders>
              <w:top w:val="single" w:sz="2" w:space="0" w:color="000000"/>
              <w:left w:val="single" w:sz="2" w:space="0" w:color="000000"/>
              <w:bottom w:val="single" w:sz="2" w:space="0" w:color="000000"/>
              <w:right w:val="single" w:sz="2" w:space="0" w:color="000000"/>
            </w:tcBorders>
          </w:tcPr>
          <w:p w14:paraId="062696DB" w14:textId="77777777" w:rsidR="001B5747" w:rsidRDefault="00434CAE">
            <w:pPr>
              <w:spacing w:after="0" w:line="259" w:lineRule="auto"/>
              <w:ind w:left="344" w:firstLine="0"/>
              <w:jc w:val="left"/>
            </w:pPr>
            <w:r>
              <w:rPr>
                <w:sz w:val="22"/>
              </w:rPr>
              <w:t>612.311,75</w:t>
            </w:r>
          </w:p>
        </w:tc>
      </w:tr>
      <w:tr w:rsidR="001B5747" w14:paraId="3F7FAE5C" w14:textId="77777777">
        <w:trPr>
          <w:trHeight w:val="259"/>
        </w:trPr>
        <w:tc>
          <w:tcPr>
            <w:tcW w:w="1193" w:type="dxa"/>
            <w:tcBorders>
              <w:top w:val="single" w:sz="2" w:space="0" w:color="000000"/>
              <w:left w:val="single" w:sz="2" w:space="0" w:color="000000"/>
              <w:bottom w:val="single" w:sz="2" w:space="0" w:color="000000"/>
              <w:right w:val="single" w:sz="2" w:space="0" w:color="000000"/>
            </w:tcBorders>
          </w:tcPr>
          <w:p w14:paraId="79D1E5BF" w14:textId="77777777" w:rsidR="001B5747" w:rsidRDefault="001B57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0467C01C" w14:textId="77777777" w:rsidR="001B5747" w:rsidRDefault="00434CAE">
            <w:pPr>
              <w:spacing w:after="0" w:line="259" w:lineRule="auto"/>
              <w:ind w:left="9" w:firstLine="0"/>
              <w:jc w:val="left"/>
            </w:pPr>
            <w:r>
              <w:rPr>
                <w:sz w:val="26"/>
              </w:rPr>
              <w:t>SUMA PREVISIONES CAP. 1 A vil (a)</w:t>
            </w:r>
          </w:p>
        </w:tc>
        <w:tc>
          <w:tcPr>
            <w:tcW w:w="1504" w:type="dxa"/>
            <w:tcBorders>
              <w:top w:val="single" w:sz="2" w:space="0" w:color="000000"/>
              <w:left w:val="single" w:sz="2" w:space="0" w:color="000000"/>
              <w:bottom w:val="single" w:sz="2" w:space="0" w:color="000000"/>
              <w:right w:val="single" w:sz="2" w:space="0" w:color="000000"/>
            </w:tcBorders>
          </w:tcPr>
          <w:p w14:paraId="1B419F0E" w14:textId="77777777" w:rsidR="001B5747" w:rsidRDefault="00434CAE">
            <w:pPr>
              <w:spacing w:after="0" w:line="259" w:lineRule="auto"/>
              <w:ind w:left="43" w:firstLine="0"/>
              <w:jc w:val="left"/>
            </w:pPr>
            <w:r>
              <w:rPr>
                <w:sz w:val="26"/>
              </w:rPr>
              <w:t>8.032.757,63</w:t>
            </w:r>
          </w:p>
        </w:tc>
      </w:tr>
      <w:tr w:rsidR="001B5747" w14:paraId="287537EB" w14:textId="77777777">
        <w:trPr>
          <w:trHeight w:val="259"/>
        </w:trPr>
        <w:tc>
          <w:tcPr>
            <w:tcW w:w="1193" w:type="dxa"/>
            <w:tcBorders>
              <w:top w:val="single" w:sz="2" w:space="0" w:color="000000"/>
              <w:left w:val="single" w:sz="2" w:space="0" w:color="000000"/>
              <w:bottom w:val="single" w:sz="2" w:space="0" w:color="000000"/>
              <w:right w:val="single" w:sz="2" w:space="0" w:color="000000"/>
            </w:tcBorders>
          </w:tcPr>
          <w:p w14:paraId="2050C3D5" w14:textId="77777777" w:rsidR="001B5747" w:rsidRDefault="00434CAE">
            <w:pPr>
              <w:spacing w:after="0" w:line="259" w:lineRule="auto"/>
              <w:ind w:left="29" w:firstLine="0"/>
            </w:pPr>
            <w:r>
              <w:rPr>
                <w:sz w:val="26"/>
              </w:rPr>
              <w:t>CAPITULO</w:t>
            </w:r>
          </w:p>
        </w:tc>
        <w:tc>
          <w:tcPr>
            <w:tcW w:w="3991" w:type="dxa"/>
            <w:tcBorders>
              <w:top w:val="single" w:sz="2" w:space="0" w:color="000000"/>
              <w:left w:val="single" w:sz="2" w:space="0" w:color="000000"/>
              <w:bottom w:val="single" w:sz="2" w:space="0" w:color="000000"/>
              <w:right w:val="single" w:sz="2" w:space="0" w:color="000000"/>
            </w:tcBorders>
          </w:tcPr>
          <w:p w14:paraId="557595FF" w14:textId="77777777" w:rsidR="001B5747" w:rsidRDefault="00434CAE">
            <w:pPr>
              <w:spacing w:after="0" w:line="259" w:lineRule="auto"/>
              <w:ind w:left="2" w:firstLine="0"/>
              <w:jc w:val="center"/>
            </w:pPr>
            <w:r>
              <w:rPr>
                <w:sz w:val="26"/>
              </w:rPr>
              <w:t>ESTADO DE GASTOS</w:t>
            </w:r>
          </w:p>
        </w:tc>
        <w:tc>
          <w:tcPr>
            <w:tcW w:w="1504" w:type="dxa"/>
            <w:tcBorders>
              <w:top w:val="single" w:sz="2" w:space="0" w:color="000000"/>
              <w:left w:val="single" w:sz="2" w:space="0" w:color="000000"/>
              <w:bottom w:val="single" w:sz="2" w:space="0" w:color="000000"/>
              <w:right w:val="single" w:sz="2" w:space="0" w:color="000000"/>
            </w:tcBorders>
          </w:tcPr>
          <w:p w14:paraId="1B084CC1" w14:textId="77777777" w:rsidR="001B5747" w:rsidRDefault="00434CAE">
            <w:pPr>
              <w:spacing w:after="0" w:line="259" w:lineRule="auto"/>
              <w:ind w:left="0" w:right="4" w:firstLine="0"/>
              <w:jc w:val="center"/>
            </w:pPr>
            <w:r>
              <w:t>IMPORTE</w:t>
            </w:r>
          </w:p>
        </w:tc>
      </w:tr>
      <w:tr w:rsidR="001B5747" w14:paraId="749A7CF7" w14:textId="77777777">
        <w:trPr>
          <w:trHeight w:val="216"/>
        </w:trPr>
        <w:tc>
          <w:tcPr>
            <w:tcW w:w="1193" w:type="dxa"/>
            <w:tcBorders>
              <w:top w:val="single" w:sz="2" w:space="0" w:color="000000"/>
              <w:left w:val="single" w:sz="2" w:space="0" w:color="000000"/>
              <w:bottom w:val="single" w:sz="2" w:space="0" w:color="000000"/>
              <w:right w:val="single" w:sz="2" w:space="0" w:color="000000"/>
            </w:tcBorders>
          </w:tcPr>
          <w:p w14:paraId="33EF07DE" w14:textId="77777777" w:rsidR="001B5747" w:rsidRDefault="001B57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740D8CC9" w14:textId="77777777" w:rsidR="001B5747" w:rsidRDefault="00434CAE">
            <w:pPr>
              <w:spacing w:after="0" w:line="259" w:lineRule="auto"/>
              <w:ind w:left="9" w:firstLine="0"/>
              <w:jc w:val="left"/>
            </w:pPr>
            <w:r>
              <w:rPr>
                <w:sz w:val="22"/>
              </w:rPr>
              <w:t>Gastos de Personal</w:t>
            </w:r>
          </w:p>
        </w:tc>
        <w:tc>
          <w:tcPr>
            <w:tcW w:w="1504" w:type="dxa"/>
            <w:tcBorders>
              <w:top w:val="single" w:sz="2" w:space="0" w:color="000000"/>
              <w:left w:val="single" w:sz="2" w:space="0" w:color="000000"/>
              <w:bottom w:val="single" w:sz="2" w:space="0" w:color="000000"/>
              <w:right w:val="single" w:sz="2" w:space="0" w:color="000000"/>
            </w:tcBorders>
          </w:tcPr>
          <w:p w14:paraId="46DF039D" w14:textId="77777777" w:rsidR="001B5747" w:rsidRDefault="00434CAE">
            <w:pPr>
              <w:spacing w:after="0" w:line="259" w:lineRule="auto"/>
              <w:ind w:left="175" w:firstLine="0"/>
              <w:jc w:val="left"/>
            </w:pPr>
            <w:r>
              <w:rPr>
                <w:sz w:val="22"/>
              </w:rPr>
              <w:t>3.358.310,92</w:t>
            </w:r>
          </w:p>
        </w:tc>
      </w:tr>
      <w:tr w:rsidR="001B5747" w14:paraId="03F15573" w14:textId="77777777">
        <w:trPr>
          <w:trHeight w:val="226"/>
        </w:trPr>
        <w:tc>
          <w:tcPr>
            <w:tcW w:w="1193" w:type="dxa"/>
            <w:tcBorders>
              <w:top w:val="single" w:sz="2" w:space="0" w:color="000000"/>
              <w:left w:val="single" w:sz="2" w:space="0" w:color="000000"/>
              <w:bottom w:val="single" w:sz="2" w:space="0" w:color="000000"/>
              <w:right w:val="single" w:sz="2" w:space="0" w:color="000000"/>
            </w:tcBorders>
          </w:tcPr>
          <w:p w14:paraId="65B91540" w14:textId="77777777" w:rsidR="001B5747" w:rsidRDefault="001B57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08712C78" w14:textId="77777777" w:rsidR="001B5747" w:rsidRDefault="00434CAE">
            <w:pPr>
              <w:spacing w:after="0" w:line="259" w:lineRule="auto"/>
              <w:ind w:left="9" w:firstLine="0"/>
              <w:jc w:val="left"/>
            </w:pPr>
            <w:r>
              <w:rPr>
                <w:sz w:val="22"/>
              </w:rPr>
              <w:t>Gastos en Bienes Corrientes Servicios</w:t>
            </w:r>
          </w:p>
        </w:tc>
        <w:tc>
          <w:tcPr>
            <w:tcW w:w="1504" w:type="dxa"/>
            <w:tcBorders>
              <w:top w:val="single" w:sz="2" w:space="0" w:color="000000"/>
              <w:left w:val="single" w:sz="2" w:space="0" w:color="000000"/>
              <w:bottom w:val="single" w:sz="2" w:space="0" w:color="000000"/>
              <w:right w:val="single" w:sz="2" w:space="0" w:color="000000"/>
            </w:tcBorders>
          </w:tcPr>
          <w:p w14:paraId="78C3A080" w14:textId="77777777" w:rsidR="001B5747" w:rsidRDefault="00434CAE">
            <w:pPr>
              <w:spacing w:after="0" w:line="259" w:lineRule="auto"/>
              <w:ind w:left="175" w:firstLine="0"/>
              <w:jc w:val="left"/>
            </w:pPr>
            <w:r>
              <w:rPr>
                <w:sz w:val="22"/>
              </w:rPr>
              <w:t>2.682.181,86</w:t>
            </w:r>
          </w:p>
        </w:tc>
      </w:tr>
      <w:tr w:rsidR="001B5747" w14:paraId="57580310" w14:textId="77777777">
        <w:trPr>
          <w:trHeight w:val="213"/>
        </w:trPr>
        <w:tc>
          <w:tcPr>
            <w:tcW w:w="1193" w:type="dxa"/>
            <w:tcBorders>
              <w:top w:val="single" w:sz="2" w:space="0" w:color="000000"/>
              <w:left w:val="single" w:sz="2" w:space="0" w:color="000000"/>
              <w:bottom w:val="single" w:sz="2" w:space="0" w:color="000000"/>
              <w:right w:val="single" w:sz="2" w:space="0" w:color="000000"/>
            </w:tcBorders>
          </w:tcPr>
          <w:p w14:paraId="5C67D57F" w14:textId="77777777" w:rsidR="001B5747" w:rsidRDefault="00434CAE">
            <w:pPr>
              <w:spacing w:after="0" w:line="259" w:lineRule="auto"/>
              <w:ind w:left="0" w:right="5" w:firstLine="0"/>
              <w:jc w:val="center"/>
            </w:pPr>
            <w:r>
              <w:t>III</w:t>
            </w:r>
          </w:p>
        </w:tc>
        <w:tc>
          <w:tcPr>
            <w:tcW w:w="3991" w:type="dxa"/>
            <w:tcBorders>
              <w:top w:val="single" w:sz="2" w:space="0" w:color="000000"/>
              <w:left w:val="single" w:sz="2" w:space="0" w:color="000000"/>
              <w:bottom w:val="single" w:sz="2" w:space="0" w:color="000000"/>
              <w:right w:val="single" w:sz="2" w:space="0" w:color="000000"/>
            </w:tcBorders>
          </w:tcPr>
          <w:p w14:paraId="1676563C" w14:textId="77777777" w:rsidR="001B5747" w:rsidRDefault="00434CAE">
            <w:pPr>
              <w:spacing w:after="0" w:line="259" w:lineRule="auto"/>
              <w:ind w:left="9" w:firstLine="0"/>
              <w:jc w:val="left"/>
            </w:pPr>
            <w:r>
              <w:rPr>
                <w:sz w:val="22"/>
              </w:rPr>
              <w:t>Gastos Financieros</w:t>
            </w:r>
          </w:p>
        </w:tc>
        <w:tc>
          <w:tcPr>
            <w:tcW w:w="1504" w:type="dxa"/>
            <w:tcBorders>
              <w:top w:val="single" w:sz="2" w:space="0" w:color="000000"/>
              <w:left w:val="single" w:sz="2" w:space="0" w:color="000000"/>
              <w:bottom w:val="single" w:sz="2" w:space="0" w:color="000000"/>
              <w:right w:val="single" w:sz="2" w:space="0" w:color="000000"/>
            </w:tcBorders>
          </w:tcPr>
          <w:p w14:paraId="54D70141" w14:textId="77777777" w:rsidR="001B5747" w:rsidRDefault="00434CAE">
            <w:pPr>
              <w:spacing w:after="0" w:line="259" w:lineRule="auto"/>
              <w:ind w:left="0" w:right="9" w:firstLine="0"/>
              <w:jc w:val="right"/>
            </w:pPr>
            <w:r>
              <w:rPr>
                <w:sz w:val="22"/>
              </w:rPr>
              <w:t>4.052 , 54</w:t>
            </w:r>
          </w:p>
        </w:tc>
      </w:tr>
      <w:tr w:rsidR="001B5747" w14:paraId="07819A6F" w14:textId="77777777">
        <w:trPr>
          <w:trHeight w:val="222"/>
        </w:trPr>
        <w:tc>
          <w:tcPr>
            <w:tcW w:w="1193" w:type="dxa"/>
            <w:tcBorders>
              <w:top w:val="single" w:sz="2" w:space="0" w:color="000000"/>
              <w:left w:val="single" w:sz="2" w:space="0" w:color="000000"/>
              <w:bottom w:val="single" w:sz="2" w:space="0" w:color="000000"/>
              <w:right w:val="single" w:sz="2" w:space="0" w:color="000000"/>
            </w:tcBorders>
          </w:tcPr>
          <w:p w14:paraId="667A5E98" w14:textId="77777777" w:rsidR="001B5747" w:rsidRDefault="001B57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7F8BC8A1" w14:textId="77777777" w:rsidR="001B5747" w:rsidRDefault="00434CAE">
            <w:pPr>
              <w:spacing w:after="0" w:line="259" w:lineRule="auto"/>
              <w:ind w:left="0" w:firstLine="0"/>
              <w:jc w:val="left"/>
            </w:pPr>
            <w:r>
              <w:rPr>
                <w:sz w:val="22"/>
              </w:rPr>
              <w:t>Transferencias Corrientes</w:t>
            </w:r>
          </w:p>
        </w:tc>
        <w:tc>
          <w:tcPr>
            <w:tcW w:w="1504" w:type="dxa"/>
            <w:tcBorders>
              <w:top w:val="single" w:sz="2" w:space="0" w:color="000000"/>
              <w:left w:val="single" w:sz="2" w:space="0" w:color="000000"/>
              <w:bottom w:val="single" w:sz="2" w:space="0" w:color="000000"/>
              <w:right w:val="single" w:sz="2" w:space="0" w:color="000000"/>
            </w:tcBorders>
          </w:tcPr>
          <w:p w14:paraId="309CB968" w14:textId="77777777" w:rsidR="001B5747" w:rsidRDefault="00434CAE">
            <w:pPr>
              <w:spacing w:after="0" w:line="259" w:lineRule="auto"/>
              <w:ind w:left="344" w:firstLine="0"/>
              <w:jc w:val="left"/>
            </w:pPr>
            <w:r>
              <w:rPr>
                <w:sz w:val="22"/>
              </w:rPr>
              <w:t>226.597,27</w:t>
            </w:r>
          </w:p>
        </w:tc>
      </w:tr>
      <w:tr w:rsidR="001B5747" w14:paraId="30554353" w14:textId="77777777">
        <w:trPr>
          <w:trHeight w:val="220"/>
        </w:trPr>
        <w:tc>
          <w:tcPr>
            <w:tcW w:w="1193" w:type="dxa"/>
            <w:tcBorders>
              <w:top w:val="single" w:sz="2" w:space="0" w:color="000000"/>
              <w:left w:val="single" w:sz="2" w:space="0" w:color="000000"/>
              <w:bottom w:val="single" w:sz="2" w:space="0" w:color="000000"/>
              <w:right w:val="single" w:sz="2" w:space="0" w:color="000000"/>
            </w:tcBorders>
          </w:tcPr>
          <w:p w14:paraId="120E4B06" w14:textId="77777777" w:rsidR="001B5747" w:rsidRDefault="001B57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4960EF95" w14:textId="77777777" w:rsidR="001B5747" w:rsidRDefault="00434CAE">
            <w:pPr>
              <w:spacing w:after="0" w:line="259" w:lineRule="auto"/>
              <w:ind w:left="9" w:firstLine="0"/>
              <w:jc w:val="left"/>
            </w:pPr>
            <w:r>
              <w:rPr>
                <w:sz w:val="22"/>
              </w:rPr>
              <w:t>Fondo de Contin encia Otros lm rev.</w:t>
            </w:r>
          </w:p>
        </w:tc>
        <w:tc>
          <w:tcPr>
            <w:tcW w:w="1504" w:type="dxa"/>
            <w:tcBorders>
              <w:top w:val="single" w:sz="2" w:space="0" w:color="000000"/>
              <w:left w:val="single" w:sz="2" w:space="0" w:color="000000"/>
              <w:bottom w:val="single" w:sz="2" w:space="0" w:color="000000"/>
              <w:right w:val="single" w:sz="2" w:space="0" w:color="000000"/>
            </w:tcBorders>
          </w:tcPr>
          <w:p w14:paraId="26D40F22" w14:textId="77777777" w:rsidR="001B5747" w:rsidRDefault="00434CAE">
            <w:pPr>
              <w:spacing w:after="0" w:line="259" w:lineRule="auto"/>
              <w:ind w:left="0" w:right="9" w:firstLine="0"/>
              <w:jc w:val="right"/>
            </w:pPr>
            <w:r>
              <w:t>1.308.802,20</w:t>
            </w:r>
          </w:p>
        </w:tc>
      </w:tr>
      <w:tr w:rsidR="001B5747" w14:paraId="14665FEB" w14:textId="77777777">
        <w:trPr>
          <w:trHeight w:val="226"/>
        </w:trPr>
        <w:tc>
          <w:tcPr>
            <w:tcW w:w="1193" w:type="dxa"/>
            <w:tcBorders>
              <w:top w:val="single" w:sz="2" w:space="0" w:color="000000"/>
              <w:left w:val="single" w:sz="2" w:space="0" w:color="000000"/>
              <w:bottom w:val="single" w:sz="2" w:space="0" w:color="000000"/>
              <w:right w:val="single" w:sz="2" w:space="0" w:color="000000"/>
            </w:tcBorders>
          </w:tcPr>
          <w:p w14:paraId="520494ED" w14:textId="77777777" w:rsidR="001B5747" w:rsidRDefault="00434CAE">
            <w:pPr>
              <w:spacing w:after="0" w:line="259" w:lineRule="auto"/>
              <w:ind w:left="0" w:right="14" w:firstLine="0"/>
              <w:jc w:val="center"/>
            </w:pPr>
            <w:r>
              <w:t>VI</w:t>
            </w:r>
          </w:p>
        </w:tc>
        <w:tc>
          <w:tcPr>
            <w:tcW w:w="3991" w:type="dxa"/>
            <w:tcBorders>
              <w:top w:val="single" w:sz="2" w:space="0" w:color="000000"/>
              <w:left w:val="single" w:sz="2" w:space="0" w:color="000000"/>
              <w:bottom w:val="single" w:sz="2" w:space="0" w:color="000000"/>
              <w:right w:val="single" w:sz="2" w:space="0" w:color="000000"/>
            </w:tcBorders>
          </w:tcPr>
          <w:p w14:paraId="14D236C5" w14:textId="77777777" w:rsidR="001B5747" w:rsidRDefault="00434CAE">
            <w:pPr>
              <w:spacing w:after="0" w:line="259" w:lineRule="auto"/>
              <w:ind w:left="9" w:firstLine="0"/>
              <w:jc w:val="left"/>
            </w:pPr>
            <w:r>
              <w:rPr>
                <w:sz w:val="22"/>
              </w:rPr>
              <w:t>Inversiones Reales</w:t>
            </w:r>
          </w:p>
        </w:tc>
        <w:tc>
          <w:tcPr>
            <w:tcW w:w="1504" w:type="dxa"/>
            <w:tcBorders>
              <w:top w:val="single" w:sz="2" w:space="0" w:color="000000"/>
              <w:left w:val="single" w:sz="2" w:space="0" w:color="000000"/>
              <w:bottom w:val="single" w:sz="2" w:space="0" w:color="000000"/>
              <w:right w:val="single" w:sz="2" w:space="0" w:color="000000"/>
            </w:tcBorders>
          </w:tcPr>
          <w:p w14:paraId="5F8BE1E8" w14:textId="77777777" w:rsidR="001B5747" w:rsidRDefault="00434CAE">
            <w:pPr>
              <w:spacing w:after="0" w:line="259" w:lineRule="auto"/>
              <w:ind w:left="0" w:right="9" w:firstLine="0"/>
              <w:jc w:val="right"/>
            </w:pPr>
            <w:r>
              <w:t>121.226,53</w:t>
            </w:r>
          </w:p>
        </w:tc>
      </w:tr>
      <w:tr w:rsidR="001B5747" w14:paraId="7A24039E" w14:textId="77777777">
        <w:trPr>
          <w:trHeight w:val="216"/>
        </w:trPr>
        <w:tc>
          <w:tcPr>
            <w:tcW w:w="1193" w:type="dxa"/>
            <w:tcBorders>
              <w:top w:val="single" w:sz="2" w:space="0" w:color="000000"/>
              <w:left w:val="single" w:sz="2" w:space="0" w:color="000000"/>
              <w:bottom w:val="single" w:sz="2" w:space="0" w:color="000000"/>
              <w:right w:val="single" w:sz="2" w:space="0" w:color="000000"/>
            </w:tcBorders>
          </w:tcPr>
          <w:p w14:paraId="367A7DA8" w14:textId="77777777" w:rsidR="001B5747" w:rsidRDefault="00434CAE">
            <w:pPr>
              <w:spacing w:after="0" w:line="259" w:lineRule="auto"/>
              <w:ind w:left="0" w:right="14" w:firstLine="0"/>
              <w:jc w:val="center"/>
            </w:pPr>
            <w:r>
              <w:t>VII</w:t>
            </w:r>
          </w:p>
        </w:tc>
        <w:tc>
          <w:tcPr>
            <w:tcW w:w="3991" w:type="dxa"/>
            <w:tcBorders>
              <w:top w:val="single" w:sz="2" w:space="0" w:color="000000"/>
              <w:left w:val="single" w:sz="2" w:space="0" w:color="000000"/>
              <w:bottom w:val="single" w:sz="2" w:space="0" w:color="000000"/>
              <w:right w:val="single" w:sz="2" w:space="0" w:color="000000"/>
            </w:tcBorders>
          </w:tcPr>
          <w:p w14:paraId="14337438" w14:textId="77777777" w:rsidR="001B5747" w:rsidRDefault="00434CAE">
            <w:pPr>
              <w:spacing w:after="0" w:line="259" w:lineRule="auto"/>
              <w:ind w:left="0" w:firstLine="0"/>
              <w:jc w:val="left"/>
            </w:pPr>
            <w:r>
              <w:rPr>
                <w:sz w:val="22"/>
              </w:rPr>
              <w:t>Transferencias de Ca ital</w:t>
            </w:r>
          </w:p>
        </w:tc>
        <w:tc>
          <w:tcPr>
            <w:tcW w:w="1504" w:type="dxa"/>
            <w:tcBorders>
              <w:top w:val="single" w:sz="2" w:space="0" w:color="000000"/>
              <w:left w:val="single" w:sz="2" w:space="0" w:color="000000"/>
              <w:bottom w:val="single" w:sz="2" w:space="0" w:color="000000"/>
              <w:right w:val="single" w:sz="2" w:space="0" w:color="000000"/>
            </w:tcBorders>
          </w:tcPr>
          <w:p w14:paraId="14FE4830" w14:textId="77777777" w:rsidR="001B5747" w:rsidRDefault="00434CAE">
            <w:pPr>
              <w:spacing w:after="0" w:line="259" w:lineRule="auto"/>
              <w:ind w:left="0" w:right="9" w:firstLine="0"/>
              <w:jc w:val="right"/>
            </w:pPr>
            <w:r>
              <w:rPr>
                <w:sz w:val="22"/>
              </w:rPr>
              <w:t>0,00</w:t>
            </w:r>
          </w:p>
        </w:tc>
      </w:tr>
      <w:tr w:rsidR="001B5747" w14:paraId="01D981C4" w14:textId="77777777">
        <w:trPr>
          <w:trHeight w:val="257"/>
        </w:trPr>
        <w:tc>
          <w:tcPr>
            <w:tcW w:w="1193" w:type="dxa"/>
            <w:tcBorders>
              <w:top w:val="single" w:sz="2" w:space="0" w:color="000000"/>
              <w:left w:val="single" w:sz="2" w:space="0" w:color="000000"/>
              <w:bottom w:val="single" w:sz="2" w:space="0" w:color="000000"/>
              <w:right w:val="single" w:sz="2" w:space="0" w:color="000000"/>
            </w:tcBorders>
          </w:tcPr>
          <w:p w14:paraId="52ABCEB7" w14:textId="77777777" w:rsidR="001B5747" w:rsidRDefault="001B5747">
            <w:pPr>
              <w:spacing w:after="160" w:line="259" w:lineRule="auto"/>
              <w:ind w:left="0" w:firstLine="0"/>
              <w:jc w:val="left"/>
            </w:pPr>
          </w:p>
        </w:tc>
        <w:tc>
          <w:tcPr>
            <w:tcW w:w="3991" w:type="dxa"/>
            <w:tcBorders>
              <w:top w:val="single" w:sz="2" w:space="0" w:color="000000"/>
              <w:left w:val="single" w:sz="2" w:space="0" w:color="000000"/>
              <w:bottom w:val="single" w:sz="2" w:space="0" w:color="000000"/>
              <w:right w:val="single" w:sz="2" w:space="0" w:color="000000"/>
            </w:tcBorders>
          </w:tcPr>
          <w:p w14:paraId="2426284F" w14:textId="77777777" w:rsidR="001B5747" w:rsidRDefault="00434CAE">
            <w:pPr>
              <w:spacing w:after="0" w:line="259" w:lineRule="auto"/>
              <w:ind w:left="9" w:firstLine="0"/>
              <w:jc w:val="left"/>
            </w:pPr>
            <w:r>
              <w:rPr>
                <w:sz w:val="26"/>
              </w:rPr>
              <w:t>SUMA CREDITOS CAP 1 A VII (b)</w:t>
            </w:r>
          </w:p>
        </w:tc>
        <w:tc>
          <w:tcPr>
            <w:tcW w:w="1504" w:type="dxa"/>
            <w:tcBorders>
              <w:top w:val="single" w:sz="2" w:space="0" w:color="000000"/>
              <w:left w:val="single" w:sz="2" w:space="0" w:color="000000"/>
              <w:bottom w:val="single" w:sz="2" w:space="0" w:color="000000"/>
              <w:right w:val="single" w:sz="2" w:space="0" w:color="000000"/>
            </w:tcBorders>
          </w:tcPr>
          <w:p w14:paraId="66E532C4" w14:textId="77777777" w:rsidR="001B5747" w:rsidRDefault="00434CAE">
            <w:pPr>
              <w:spacing w:after="0" w:line="259" w:lineRule="auto"/>
              <w:ind w:left="43" w:firstLine="0"/>
              <w:jc w:val="left"/>
            </w:pPr>
            <w:r>
              <w:rPr>
                <w:sz w:val="26"/>
              </w:rPr>
              <w:t>7.701.171,32</w:t>
            </w:r>
          </w:p>
        </w:tc>
      </w:tr>
      <w:tr w:rsidR="001B5747" w14:paraId="23164CF4" w14:textId="77777777">
        <w:trPr>
          <w:trHeight w:val="265"/>
        </w:trPr>
        <w:tc>
          <w:tcPr>
            <w:tcW w:w="5184" w:type="dxa"/>
            <w:gridSpan w:val="2"/>
            <w:tcBorders>
              <w:top w:val="single" w:sz="2" w:space="0" w:color="000000"/>
              <w:left w:val="single" w:sz="2" w:space="0" w:color="000000"/>
              <w:bottom w:val="single" w:sz="2" w:space="0" w:color="000000"/>
              <w:right w:val="single" w:sz="2" w:space="0" w:color="000000"/>
            </w:tcBorders>
          </w:tcPr>
          <w:p w14:paraId="1053F9A6" w14:textId="77777777" w:rsidR="001B5747" w:rsidRDefault="00434CAE">
            <w:pPr>
              <w:spacing w:after="0" w:line="259" w:lineRule="auto"/>
              <w:ind w:left="0" w:right="8" w:firstLine="0"/>
              <w:jc w:val="center"/>
            </w:pPr>
            <w:r>
              <w:rPr>
                <w:sz w:val="26"/>
              </w:rPr>
              <w:t>CAPACIDAD DE FINANCIACI N (a-b)</w:t>
            </w:r>
          </w:p>
        </w:tc>
        <w:tc>
          <w:tcPr>
            <w:tcW w:w="1504" w:type="dxa"/>
            <w:tcBorders>
              <w:top w:val="single" w:sz="2" w:space="0" w:color="000000"/>
              <w:left w:val="single" w:sz="2" w:space="0" w:color="000000"/>
              <w:bottom w:val="single" w:sz="2" w:space="0" w:color="000000"/>
              <w:right w:val="single" w:sz="2" w:space="0" w:color="000000"/>
            </w:tcBorders>
          </w:tcPr>
          <w:p w14:paraId="009D06B0" w14:textId="77777777" w:rsidR="001B5747" w:rsidRDefault="00434CAE">
            <w:pPr>
              <w:spacing w:after="0" w:line="259" w:lineRule="auto"/>
              <w:ind w:left="0" w:right="19" w:firstLine="0"/>
              <w:jc w:val="right"/>
            </w:pPr>
            <w:r>
              <w:rPr>
                <w:sz w:val="26"/>
              </w:rPr>
              <w:t>331.586,31</w:t>
            </w:r>
          </w:p>
        </w:tc>
      </w:tr>
      <w:tr w:rsidR="001B5747" w14:paraId="48B6CE0B" w14:textId="77777777">
        <w:trPr>
          <w:trHeight w:val="223"/>
        </w:trPr>
        <w:tc>
          <w:tcPr>
            <w:tcW w:w="5184" w:type="dxa"/>
            <w:gridSpan w:val="2"/>
            <w:tcBorders>
              <w:top w:val="single" w:sz="2" w:space="0" w:color="000000"/>
              <w:left w:val="single" w:sz="2" w:space="0" w:color="000000"/>
              <w:bottom w:val="single" w:sz="2" w:space="0" w:color="000000"/>
              <w:right w:val="single" w:sz="2" w:space="0" w:color="000000"/>
            </w:tcBorders>
          </w:tcPr>
          <w:p w14:paraId="2992FD44" w14:textId="77777777" w:rsidR="001B5747" w:rsidRDefault="00434CAE">
            <w:pPr>
              <w:spacing w:after="0" w:line="259" w:lineRule="auto"/>
              <w:ind w:left="11" w:firstLine="0"/>
              <w:jc w:val="center"/>
            </w:pPr>
            <w:r>
              <w:rPr>
                <w:sz w:val="26"/>
              </w:rPr>
              <w:t>RATIO DE ESTABILIDAD</w:t>
            </w:r>
          </w:p>
        </w:tc>
        <w:tc>
          <w:tcPr>
            <w:tcW w:w="1504" w:type="dxa"/>
            <w:tcBorders>
              <w:top w:val="single" w:sz="2" w:space="0" w:color="000000"/>
              <w:left w:val="single" w:sz="2" w:space="0" w:color="000000"/>
              <w:bottom w:val="single" w:sz="2" w:space="0" w:color="000000"/>
              <w:right w:val="single" w:sz="2" w:space="0" w:color="000000"/>
            </w:tcBorders>
          </w:tcPr>
          <w:p w14:paraId="070AE9C5" w14:textId="77777777" w:rsidR="001B5747" w:rsidRDefault="00434CAE">
            <w:pPr>
              <w:spacing w:after="0" w:line="259" w:lineRule="auto"/>
              <w:ind w:left="0" w:firstLine="0"/>
              <w:jc w:val="right"/>
            </w:pPr>
            <w:r>
              <w:rPr>
                <w:sz w:val="26"/>
              </w:rPr>
              <w:t>0 04</w:t>
            </w:r>
          </w:p>
        </w:tc>
      </w:tr>
    </w:tbl>
    <w:p w14:paraId="280B6948" w14:textId="77777777" w:rsidR="001B5747" w:rsidRDefault="00434CAE">
      <w:pPr>
        <w:spacing w:after="198"/>
        <w:ind w:left="5" w:right="13"/>
      </w:pPr>
      <w:r>
        <w:t>La posición de equilibrio financiero en el SEC exige que los recursos de los Capítulos del 1-VII del estado de ingresos no exceda de los créditos de los mismos Capítulos en el Estado de Gastos (es decir, saldo de operaciones no financieras cero o positivo, o correlativamente, de la comparación de los Capítulos VIII y IX, acreditando que no se produzca un incremento neto de la financiación ajena).</w:t>
      </w:r>
    </w:p>
    <w:p w14:paraId="58D2B2E4" w14:textId="77777777" w:rsidR="001B5747" w:rsidRDefault="00434CAE">
      <w:pPr>
        <w:spacing w:after="262"/>
        <w:ind w:left="5" w:right="13"/>
      </w:pPr>
      <w:r>
        <w:t>A la vista de la información contenida en la liquidación para el año 2023, se deduce que la diferencia entre los capítulos I a 7 de ingresos y I a 7 de gastos asciende a 331.586,31 euros, de capacidad de financiación.</w:t>
      </w:r>
    </w:p>
    <w:p w14:paraId="2625B676" w14:textId="77777777" w:rsidR="001B5747" w:rsidRDefault="00434CAE">
      <w:pPr>
        <w:spacing w:after="488"/>
        <w:ind w:left="5" w:right="13"/>
      </w:pPr>
      <w:r>
        <w:rPr>
          <w:noProof/>
        </w:rPr>
        <w:drawing>
          <wp:anchor distT="0" distB="0" distL="114300" distR="114300" simplePos="0" relativeHeight="251665408" behindDoc="0" locked="0" layoutInCell="1" allowOverlap="0" wp14:anchorId="3CC25E88" wp14:editId="07B15B54">
            <wp:simplePos x="0" y="0"/>
            <wp:positionH relativeFrom="page">
              <wp:posOffset>6994565</wp:posOffset>
            </wp:positionH>
            <wp:positionV relativeFrom="page">
              <wp:posOffset>8035669</wp:posOffset>
            </wp:positionV>
            <wp:extent cx="59579" cy="649287"/>
            <wp:effectExtent l="0" t="0" r="0" b="0"/>
            <wp:wrapSquare wrapText="bothSides"/>
            <wp:docPr id="58095" name="Picture 58095"/>
            <wp:cNvGraphicFramePr/>
            <a:graphic xmlns:a="http://schemas.openxmlformats.org/drawingml/2006/main">
              <a:graphicData uri="http://schemas.openxmlformats.org/drawingml/2006/picture">
                <pic:pic xmlns:pic="http://schemas.openxmlformats.org/drawingml/2006/picture">
                  <pic:nvPicPr>
                    <pic:cNvPr id="58095" name="Picture 58095"/>
                    <pic:cNvPicPr/>
                  </pic:nvPicPr>
                  <pic:blipFill>
                    <a:blip r:embed="rId9"/>
                    <a:stretch>
                      <a:fillRect/>
                    </a:stretch>
                  </pic:blipFill>
                  <pic:spPr>
                    <a:xfrm>
                      <a:off x="0" y="0"/>
                      <a:ext cx="59579" cy="649287"/>
                    </a:xfrm>
                    <a:prstGeom prst="rect">
                      <a:avLst/>
                    </a:prstGeom>
                  </pic:spPr>
                </pic:pic>
              </a:graphicData>
            </a:graphic>
          </wp:anchor>
        </w:drawing>
      </w:r>
      <w:r>
        <w:t>Con carácter general, la totalidad de los ingresos y gastos no financieros presupuestarios, sin perjuicio de su reclasificación en términos de partidas contabilidad nacional, corresponden a la totalidad de los empleos y recursos que se computan en la obtención de la capacidad/necesidad de financiación del subsector Corporaciones Locales de las Administraciones Públicas de la Contabilidad Nacional. Las diferencias vienen determinadas por los ajustes siguientes a practicar sobre los datos de las previsiones p</w:t>
      </w:r>
      <w:r>
        <w:t>resupuestarias.</w:t>
      </w:r>
    </w:p>
    <w:p w14:paraId="0FD59A59" w14:textId="77777777" w:rsidR="001B5747" w:rsidRDefault="00434CAE">
      <w:pPr>
        <w:spacing w:after="268" w:line="259" w:lineRule="auto"/>
        <w:ind w:left="14" w:hanging="10"/>
        <w:jc w:val="left"/>
      </w:pPr>
      <w:r>
        <w:rPr>
          <w:sz w:val="28"/>
        </w:rPr>
        <w:t>1) AJUSTES DE INGRESOS:</w:t>
      </w:r>
    </w:p>
    <w:p w14:paraId="108EF4C5" w14:textId="77777777" w:rsidR="001B5747" w:rsidRDefault="00434CAE">
      <w:pPr>
        <w:numPr>
          <w:ilvl w:val="0"/>
          <w:numId w:val="2"/>
        </w:numPr>
        <w:spacing w:after="0" w:line="259" w:lineRule="auto"/>
        <w:ind w:hanging="347"/>
        <w:jc w:val="left"/>
      </w:pPr>
      <w:r>
        <w:rPr>
          <w:sz w:val="28"/>
        </w:rPr>
        <w:t>Reintegro liquidaciones PIE:</w:t>
      </w:r>
    </w:p>
    <w:p w14:paraId="5750D207" w14:textId="77777777" w:rsidR="001B5747" w:rsidRDefault="00434CAE">
      <w:pPr>
        <w:spacing w:after="103"/>
        <w:ind w:left="5" w:right="13"/>
      </w:pPr>
      <w:r>
        <w:t>Si el importe que reconoce la entidad local coincide con las entidades entregadas o comunicadas no procede realizar ajuste, en otro caso deberemos ajustar. Si reconocimos más importe que las cantidades ingresadas en el ejercicio, deberemos ajustar minorando, si reconocemos menos deberemos ajustar incrementando.</w:t>
      </w:r>
    </w:p>
    <w:p w14:paraId="529633AE" w14:textId="77777777" w:rsidR="001B5747" w:rsidRDefault="00434CAE">
      <w:pPr>
        <w:spacing w:after="456"/>
        <w:ind w:left="5" w:right="13"/>
      </w:pPr>
      <w:r>
        <w:t>No constan reintegros de liquidaciones de la Participación de los Tributos del Estado, por tanto, no se realizan ajustes.</w:t>
      </w:r>
    </w:p>
    <w:p w14:paraId="67496B95" w14:textId="77777777" w:rsidR="001B5747" w:rsidRDefault="00434CAE">
      <w:pPr>
        <w:numPr>
          <w:ilvl w:val="0"/>
          <w:numId w:val="2"/>
        </w:numPr>
        <w:spacing w:after="0" w:line="259" w:lineRule="auto"/>
        <w:ind w:hanging="347"/>
        <w:jc w:val="left"/>
      </w:pPr>
      <w:r>
        <w:rPr>
          <w:sz w:val="28"/>
        </w:rPr>
        <w:t>Capítulos I, 2 y 3 del Estado de Ingresos:</w:t>
      </w:r>
    </w:p>
    <w:p w14:paraId="06B11703" w14:textId="77777777" w:rsidR="001B5747" w:rsidRDefault="00434CAE">
      <w:pPr>
        <w:ind w:left="5" w:right="13"/>
      </w:pPr>
      <w:r>
        <w:t>En relación con los ingresos de los capítulos 1 a 3, el SEC sigue el criterio de caja, por lo que, a la hora de analizar la estabilidad presupuestaria, deberá realizarse un ajuste negativo por importe de 354.839,65 euros, por la diferencia entre la recaudación neta y los derechos reconocidos netos en los citados capítulos.</w:t>
      </w:r>
    </w:p>
    <w:tbl>
      <w:tblPr>
        <w:tblStyle w:val="TableGrid"/>
        <w:tblW w:w="8501" w:type="dxa"/>
        <w:tblInd w:w="14" w:type="dxa"/>
        <w:tblCellMar>
          <w:top w:w="44" w:type="dxa"/>
          <w:left w:w="69" w:type="dxa"/>
          <w:bottom w:w="5" w:type="dxa"/>
          <w:right w:w="69" w:type="dxa"/>
        </w:tblCellMar>
        <w:tblLook w:val="04A0" w:firstRow="1" w:lastRow="0" w:firstColumn="1" w:lastColumn="0" w:noHBand="0" w:noVBand="1"/>
      </w:tblPr>
      <w:tblGrid>
        <w:gridCol w:w="1127"/>
        <w:gridCol w:w="1556"/>
        <w:gridCol w:w="1417"/>
        <w:gridCol w:w="1428"/>
        <w:gridCol w:w="1556"/>
        <w:gridCol w:w="1417"/>
      </w:tblGrid>
      <w:tr w:rsidR="001B5747" w14:paraId="07AB4973" w14:textId="77777777">
        <w:trPr>
          <w:trHeight w:val="551"/>
        </w:trPr>
        <w:tc>
          <w:tcPr>
            <w:tcW w:w="1126" w:type="dxa"/>
            <w:tcBorders>
              <w:top w:val="single" w:sz="2" w:space="0" w:color="000000"/>
              <w:left w:val="single" w:sz="2" w:space="0" w:color="000000"/>
              <w:bottom w:val="single" w:sz="2" w:space="0" w:color="000000"/>
              <w:right w:val="single" w:sz="2" w:space="0" w:color="000000"/>
            </w:tcBorders>
            <w:vAlign w:val="bottom"/>
          </w:tcPr>
          <w:p w14:paraId="52CC866F" w14:textId="77777777" w:rsidR="001B5747" w:rsidRDefault="00434CAE">
            <w:pPr>
              <w:spacing w:after="0" w:line="259" w:lineRule="auto"/>
              <w:ind w:left="1" w:firstLine="0"/>
              <w:jc w:val="left"/>
            </w:pPr>
            <w:r>
              <w:t>Capítulos</w:t>
            </w:r>
          </w:p>
        </w:tc>
        <w:tc>
          <w:tcPr>
            <w:tcW w:w="1556" w:type="dxa"/>
            <w:tcBorders>
              <w:top w:val="single" w:sz="2" w:space="0" w:color="000000"/>
              <w:left w:val="single" w:sz="2" w:space="0" w:color="000000"/>
              <w:bottom w:val="single" w:sz="2" w:space="0" w:color="000000"/>
              <w:right w:val="single" w:sz="2" w:space="0" w:color="000000"/>
            </w:tcBorders>
            <w:vAlign w:val="bottom"/>
          </w:tcPr>
          <w:p w14:paraId="0B4E40F2" w14:textId="77777777" w:rsidR="001B5747" w:rsidRDefault="00434CAE">
            <w:pPr>
              <w:spacing w:after="0" w:line="259" w:lineRule="auto"/>
              <w:ind w:left="11" w:firstLine="0"/>
              <w:jc w:val="left"/>
            </w:pPr>
            <w:r>
              <w:t>a) DRN 2022</w:t>
            </w:r>
          </w:p>
        </w:tc>
        <w:tc>
          <w:tcPr>
            <w:tcW w:w="1417" w:type="dxa"/>
            <w:tcBorders>
              <w:top w:val="single" w:sz="2" w:space="0" w:color="000000"/>
              <w:left w:val="single" w:sz="2" w:space="0" w:color="000000"/>
              <w:bottom w:val="single" w:sz="2" w:space="0" w:color="000000"/>
              <w:right w:val="nil"/>
            </w:tcBorders>
            <w:vAlign w:val="bottom"/>
          </w:tcPr>
          <w:p w14:paraId="541E379D" w14:textId="77777777" w:rsidR="001B5747" w:rsidRDefault="00434CAE">
            <w:pPr>
              <w:spacing w:after="0" w:line="259" w:lineRule="auto"/>
              <w:ind w:left="21" w:firstLine="0"/>
              <w:jc w:val="left"/>
            </w:pPr>
            <w:r>
              <w:rPr>
                <w:sz w:val="22"/>
              </w:rPr>
              <w:t>Recaudación</w:t>
            </w:r>
          </w:p>
        </w:tc>
        <w:tc>
          <w:tcPr>
            <w:tcW w:w="1428" w:type="dxa"/>
            <w:tcBorders>
              <w:top w:val="single" w:sz="2" w:space="0" w:color="000000"/>
              <w:left w:val="nil"/>
              <w:bottom w:val="single" w:sz="2" w:space="0" w:color="000000"/>
              <w:right w:val="single" w:sz="2" w:space="0" w:color="000000"/>
            </w:tcBorders>
          </w:tcPr>
          <w:p w14:paraId="2648689D" w14:textId="77777777" w:rsidR="001B5747" w:rsidRDefault="001B5747">
            <w:pPr>
              <w:spacing w:after="160" w:line="259" w:lineRule="auto"/>
              <w:ind w:left="0" w:firstLine="0"/>
              <w:jc w:val="left"/>
            </w:pPr>
          </w:p>
        </w:tc>
        <w:tc>
          <w:tcPr>
            <w:tcW w:w="1556" w:type="dxa"/>
            <w:tcBorders>
              <w:top w:val="single" w:sz="2" w:space="0" w:color="000000"/>
              <w:left w:val="single" w:sz="2" w:space="0" w:color="000000"/>
              <w:bottom w:val="single" w:sz="2" w:space="0" w:color="000000"/>
              <w:right w:val="single" w:sz="2" w:space="0" w:color="000000"/>
            </w:tcBorders>
          </w:tcPr>
          <w:p w14:paraId="42E21C10" w14:textId="77777777" w:rsidR="001B5747" w:rsidRDefault="00434CAE">
            <w:pPr>
              <w:spacing w:after="0" w:line="259" w:lineRule="auto"/>
              <w:ind w:left="9" w:hanging="9"/>
              <w:jc w:val="left"/>
            </w:pPr>
            <w:r>
              <w:rPr>
                <w:sz w:val="22"/>
              </w:rPr>
              <w:t>d) Total recaudación</w:t>
            </w:r>
          </w:p>
        </w:tc>
        <w:tc>
          <w:tcPr>
            <w:tcW w:w="1417" w:type="dxa"/>
            <w:tcBorders>
              <w:top w:val="single" w:sz="2" w:space="0" w:color="000000"/>
              <w:left w:val="single" w:sz="2" w:space="0" w:color="000000"/>
              <w:bottom w:val="single" w:sz="2" w:space="0" w:color="000000"/>
              <w:right w:val="single" w:sz="2" w:space="0" w:color="000000"/>
            </w:tcBorders>
            <w:vAlign w:val="bottom"/>
          </w:tcPr>
          <w:p w14:paraId="775B6129" w14:textId="77777777" w:rsidR="001B5747" w:rsidRDefault="00434CAE">
            <w:pPr>
              <w:spacing w:after="0" w:line="259" w:lineRule="auto"/>
              <w:ind w:left="11" w:firstLine="0"/>
              <w:jc w:val="left"/>
            </w:pPr>
            <w:r>
              <w:t>e) Ajuste</w:t>
            </w:r>
          </w:p>
        </w:tc>
      </w:tr>
      <w:tr w:rsidR="001B5747" w14:paraId="6AC94087" w14:textId="77777777">
        <w:trPr>
          <w:trHeight w:val="560"/>
        </w:trPr>
        <w:tc>
          <w:tcPr>
            <w:tcW w:w="1126" w:type="dxa"/>
            <w:tcBorders>
              <w:top w:val="single" w:sz="2" w:space="0" w:color="000000"/>
              <w:left w:val="single" w:sz="2" w:space="0" w:color="000000"/>
              <w:bottom w:val="single" w:sz="2" w:space="0" w:color="000000"/>
              <w:right w:val="single" w:sz="2" w:space="0" w:color="000000"/>
            </w:tcBorders>
          </w:tcPr>
          <w:p w14:paraId="512D7574" w14:textId="77777777" w:rsidR="001B5747" w:rsidRDefault="001B5747">
            <w:pPr>
              <w:spacing w:after="160" w:line="259" w:lineRule="auto"/>
              <w:ind w:left="0" w:firstLine="0"/>
              <w:jc w:val="left"/>
            </w:pPr>
          </w:p>
        </w:tc>
        <w:tc>
          <w:tcPr>
            <w:tcW w:w="1556" w:type="dxa"/>
            <w:tcBorders>
              <w:top w:val="single" w:sz="2" w:space="0" w:color="000000"/>
              <w:left w:val="single" w:sz="2" w:space="0" w:color="000000"/>
              <w:bottom w:val="single" w:sz="2" w:space="0" w:color="000000"/>
              <w:right w:val="single" w:sz="2" w:space="0" w:color="000000"/>
            </w:tcBorders>
          </w:tcPr>
          <w:p w14:paraId="57FFB137" w14:textId="77777777" w:rsidR="001B5747" w:rsidRDefault="001B5747">
            <w:pPr>
              <w:spacing w:after="160" w:line="259" w:lineRule="auto"/>
              <w:ind w:left="0" w:firstLine="0"/>
              <w:jc w:val="left"/>
            </w:pPr>
          </w:p>
        </w:tc>
        <w:tc>
          <w:tcPr>
            <w:tcW w:w="1417" w:type="dxa"/>
            <w:tcBorders>
              <w:top w:val="single" w:sz="2" w:space="0" w:color="000000"/>
              <w:left w:val="single" w:sz="2" w:space="0" w:color="000000"/>
              <w:bottom w:val="single" w:sz="2" w:space="0" w:color="000000"/>
              <w:right w:val="single" w:sz="2" w:space="0" w:color="000000"/>
            </w:tcBorders>
          </w:tcPr>
          <w:p w14:paraId="073E6F2A" w14:textId="77777777" w:rsidR="001B5747" w:rsidRDefault="00434CAE">
            <w:pPr>
              <w:spacing w:after="0" w:line="259" w:lineRule="auto"/>
              <w:ind w:left="0" w:firstLine="0"/>
              <w:jc w:val="center"/>
            </w:pPr>
            <w:r>
              <w:rPr>
                <w:sz w:val="22"/>
              </w:rPr>
              <w:t>b) Ejercicio corriente</w:t>
            </w:r>
          </w:p>
        </w:tc>
        <w:tc>
          <w:tcPr>
            <w:tcW w:w="1428" w:type="dxa"/>
            <w:tcBorders>
              <w:top w:val="single" w:sz="2" w:space="0" w:color="000000"/>
              <w:left w:val="single" w:sz="2" w:space="0" w:color="000000"/>
              <w:bottom w:val="single" w:sz="2" w:space="0" w:color="000000"/>
              <w:right w:val="single" w:sz="2" w:space="0" w:color="000000"/>
            </w:tcBorders>
          </w:tcPr>
          <w:p w14:paraId="013B4C1E" w14:textId="77777777" w:rsidR="001B5747" w:rsidRDefault="00434CAE">
            <w:pPr>
              <w:spacing w:after="0" w:line="259" w:lineRule="auto"/>
              <w:ind w:left="0" w:firstLine="0"/>
              <w:jc w:val="center"/>
            </w:pPr>
            <w:r>
              <w:rPr>
                <w:sz w:val="22"/>
              </w:rPr>
              <w:t>c) Ejercicios cerrados</w:t>
            </w:r>
          </w:p>
        </w:tc>
        <w:tc>
          <w:tcPr>
            <w:tcW w:w="1556" w:type="dxa"/>
            <w:tcBorders>
              <w:top w:val="single" w:sz="2" w:space="0" w:color="000000"/>
              <w:left w:val="single" w:sz="2" w:space="0" w:color="000000"/>
              <w:bottom w:val="single" w:sz="2" w:space="0" w:color="000000"/>
              <w:right w:val="single" w:sz="2" w:space="0" w:color="000000"/>
            </w:tcBorders>
          </w:tcPr>
          <w:p w14:paraId="5AE3D4AB" w14:textId="77777777" w:rsidR="001B5747" w:rsidRDefault="001B5747">
            <w:pPr>
              <w:spacing w:after="160" w:line="259" w:lineRule="auto"/>
              <w:ind w:left="0" w:firstLine="0"/>
              <w:jc w:val="left"/>
            </w:pPr>
          </w:p>
        </w:tc>
        <w:tc>
          <w:tcPr>
            <w:tcW w:w="1417" w:type="dxa"/>
            <w:tcBorders>
              <w:top w:val="single" w:sz="2" w:space="0" w:color="000000"/>
              <w:left w:val="single" w:sz="2" w:space="0" w:color="000000"/>
              <w:bottom w:val="single" w:sz="2" w:space="0" w:color="000000"/>
              <w:right w:val="single" w:sz="2" w:space="0" w:color="000000"/>
            </w:tcBorders>
          </w:tcPr>
          <w:p w14:paraId="71627FAF" w14:textId="77777777" w:rsidR="001B5747" w:rsidRDefault="001B5747">
            <w:pPr>
              <w:spacing w:after="160" w:line="259" w:lineRule="auto"/>
              <w:ind w:left="0" w:firstLine="0"/>
              <w:jc w:val="left"/>
            </w:pPr>
          </w:p>
        </w:tc>
      </w:tr>
      <w:tr w:rsidR="001B5747" w14:paraId="37104DF0" w14:textId="77777777">
        <w:trPr>
          <w:trHeight w:val="300"/>
        </w:trPr>
        <w:tc>
          <w:tcPr>
            <w:tcW w:w="1126" w:type="dxa"/>
            <w:tcBorders>
              <w:top w:val="single" w:sz="2" w:space="0" w:color="000000"/>
              <w:left w:val="single" w:sz="2" w:space="0" w:color="000000"/>
              <w:bottom w:val="single" w:sz="2" w:space="0" w:color="000000"/>
              <w:right w:val="single" w:sz="2" w:space="0" w:color="000000"/>
            </w:tcBorders>
          </w:tcPr>
          <w:p w14:paraId="45BD60DF" w14:textId="77777777" w:rsidR="001B5747" w:rsidRDefault="00434CAE">
            <w:pPr>
              <w:spacing w:after="0" w:line="259" w:lineRule="auto"/>
              <w:ind w:left="19" w:firstLine="0"/>
              <w:jc w:val="center"/>
            </w:pPr>
            <w:r>
              <w:rPr>
                <w:sz w:val="32"/>
              </w:rPr>
              <w:t>1</w:t>
            </w:r>
          </w:p>
        </w:tc>
        <w:tc>
          <w:tcPr>
            <w:tcW w:w="1556" w:type="dxa"/>
            <w:tcBorders>
              <w:top w:val="single" w:sz="2" w:space="0" w:color="000000"/>
              <w:left w:val="single" w:sz="2" w:space="0" w:color="000000"/>
              <w:bottom w:val="single" w:sz="2" w:space="0" w:color="000000"/>
              <w:right w:val="single" w:sz="2" w:space="0" w:color="000000"/>
            </w:tcBorders>
          </w:tcPr>
          <w:p w14:paraId="0D3A1F29" w14:textId="77777777" w:rsidR="001B5747" w:rsidRDefault="00434CAE">
            <w:pPr>
              <w:spacing w:after="0" w:line="259" w:lineRule="auto"/>
              <w:ind w:left="0" w:firstLine="0"/>
              <w:jc w:val="right"/>
            </w:pPr>
            <w:r>
              <w:rPr>
                <w:sz w:val="22"/>
              </w:rPr>
              <w:t>1.133.762,79</w:t>
            </w:r>
          </w:p>
        </w:tc>
        <w:tc>
          <w:tcPr>
            <w:tcW w:w="1417" w:type="dxa"/>
            <w:tcBorders>
              <w:top w:val="single" w:sz="2" w:space="0" w:color="000000"/>
              <w:left w:val="single" w:sz="2" w:space="0" w:color="000000"/>
              <w:bottom w:val="single" w:sz="2" w:space="0" w:color="000000"/>
              <w:right w:val="single" w:sz="2" w:space="0" w:color="000000"/>
            </w:tcBorders>
          </w:tcPr>
          <w:p w14:paraId="09CA1AB3" w14:textId="77777777" w:rsidR="001B5747" w:rsidRDefault="00434CAE">
            <w:pPr>
              <w:spacing w:after="0" w:line="259" w:lineRule="auto"/>
              <w:ind w:left="0" w:firstLine="0"/>
              <w:jc w:val="right"/>
            </w:pPr>
            <w:r>
              <w:rPr>
                <w:sz w:val="22"/>
              </w:rPr>
              <w:t>800.184,96</w:t>
            </w:r>
          </w:p>
        </w:tc>
        <w:tc>
          <w:tcPr>
            <w:tcW w:w="1428" w:type="dxa"/>
            <w:tcBorders>
              <w:top w:val="single" w:sz="2" w:space="0" w:color="000000"/>
              <w:left w:val="single" w:sz="2" w:space="0" w:color="000000"/>
              <w:bottom w:val="single" w:sz="2" w:space="0" w:color="000000"/>
              <w:right w:val="single" w:sz="2" w:space="0" w:color="000000"/>
            </w:tcBorders>
          </w:tcPr>
          <w:p w14:paraId="296EFE59" w14:textId="77777777" w:rsidR="001B5747" w:rsidRDefault="00434CAE">
            <w:pPr>
              <w:spacing w:after="0" w:line="259" w:lineRule="auto"/>
              <w:ind w:left="0" w:right="12" w:firstLine="0"/>
              <w:jc w:val="right"/>
            </w:pPr>
            <w:r>
              <w:rPr>
                <w:sz w:val="22"/>
              </w:rPr>
              <w:t>160.094,79</w:t>
            </w:r>
          </w:p>
        </w:tc>
        <w:tc>
          <w:tcPr>
            <w:tcW w:w="1556" w:type="dxa"/>
            <w:tcBorders>
              <w:top w:val="single" w:sz="2" w:space="0" w:color="000000"/>
              <w:left w:val="single" w:sz="2" w:space="0" w:color="000000"/>
              <w:bottom w:val="single" w:sz="2" w:space="0" w:color="000000"/>
              <w:right w:val="single" w:sz="2" w:space="0" w:color="000000"/>
            </w:tcBorders>
          </w:tcPr>
          <w:p w14:paraId="22207473" w14:textId="77777777" w:rsidR="001B5747" w:rsidRDefault="00434CAE">
            <w:pPr>
              <w:spacing w:after="0" w:line="259" w:lineRule="auto"/>
              <w:ind w:left="0" w:right="11" w:firstLine="0"/>
              <w:jc w:val="right"/>
            </w:pPr>
            <w:r>
              <w:rPr>
                <w:sz w:val="22"/>
              </w:rPr>
              <w:t>960.279,75</w:t>
            </w:r>
          </w:p>
        </w:tc>
        <w:tc>
          <w:tcPr>
            <w:tcW w:w="1417" w:type="dxa"/>
            <w:tcBorders>
              <w:top w:val="single" w:sz="2" w:space="0" w:color="000000"/>
              <w:left w:val="single" w:sz="2" w:space="0" w:color="000000"/>
              <w:bottom w:val="single" w:sz="2" w:space="0" w:color="000000"/>
              <w:right w:val="single" w:sz="2" w:space="0" w:color="000000"/>
            </w:tcBorders>
          </w:tcPr>
          <w:p w14:paraId="52202AA1" w14:textId="77777777" w:rsidR="001B5747" w:rsidRDefault="00434CAE">
            <w:pPr>
              <w:spacing w:after="0" w:line="259" w:lineRule="auto"/>
              <w:ind w:left="0" w:right="1" w:firstLine="0"/>
              <w:jc w:val="right"/>
            </w:pPr>
            <w:r>
              <w:rPr>
                <w:sz w:val="22"/>
              </w:rPr>
              <w:t>-173.483,04</w:t>
            </w:r>
          </w:p>
        </w:tc>
      </w:tr>
      <w:tr w:rsidR="001B5747" w14:paraId="6993196D" w14:textId="77777777">
        <w:trPr>
          <w:trHeight w:val="300"/>
        </w:trPr>
        <w:tc>
          <w:tcPr>
            <w:tcW w:w="1126" w:type="dxa"/>
            <w:tcBorders>
              <w:top w:val="single" w:sz="2" w:space="0" w:color="000000"/>
              <w:left w:val="single" w:sz="2" w:space="0" w:color="000000"/>
              <w:bottom w:val="single" w:sz="2" w:space="0" w:color="000000"/>
              <w:right w:val="single" w:sz="2" w:space="0" w:color="000000"/>
            </w:tcBorders>
          </w:tcPr>
          <w:p w14:paraId="078AB5CD" w14:textId="77777777" w:rsidR="001B5747" w:rsidRDefault="00434CAE">
            <w:pPr>
              <w:spacing w:after="0" w:line="259" w:lineRule="auto"/>
              <w:ind w:left="0" w:firstLine="0"/>
              <w:jc w:val="center"/>
            </w:pPr>
            <w:r>
              <w:t>2</w:t>
            </w:r>
          </w:p>
        </w:tc>
        <w:tc>
          <w:tcPr>
            <w:tcW w:w="1556" w:type="dxa"/>
            <w:tcBorders>
              <w:top w:val="single" w:sz="2" w:space="0" w:color="000000"/>
              <w:left w:val="single" w:sz="2" w:space="0" w:color="000000"/>
              <w:bottom w:val="single" w:sz="2" w:space="0" w:color="000000"/>
              <w:right w:val="single" w:sz="2" w:space="0" w:color="000000"/>
            </w:tcBorders>
          </w:tcPr>
          <w:p w14:paraId="6F6D2321" w14:textId="77777777" w:rsidR="001B5747" w:rsidRDefault="00434CAE">
            <w:pPr>
              <w:spacing w:after="0" w:line="259" w:lineRule="auto"/>
              <w:ind w:left="0" w:firstLine="0"/>
              <w:jc w:val="right"/>
            </w:pPr>
            <w:r>
              <w:rPr>
                <w:sz w:val="22"/>
              </w:rPr>
              <w:t>21.355,67</w:t>
            </w:r>
          </w:p>
        </w:tc>
        <w:tc>
          <w:tcPr>
            <w:tcW w:w="1417" w:type="dxa"/>
            <w:tcBorders>
              <w:top w:val="single" w:sz="2" w:space="0" w:color="000000"/>
              <w:left w:val="single" w:sz="2" w:space="0" w:color="000000"/>
              <w:bottom w:val="single" w:sz="2" w:space="0" w:color="000000"/>
              <w:right w:val="single" w:sz="2" w:space="0" w:color="000000"/>
            </w:tcBorders>
          </w:tcPr>
          <w:p w14:paraId="48E9A8E4" w14:textId="77777777" w:rsidR="001B5747" w:rsidRDefault="00434CAE">
            <w:pPr>
              <w:spacing w:after="0" w:line="259" w:lineRule="auto"/>
              <w:ind w:left="0" w:firstLine="0"/>
              <w:jc w:val="right"/>
            </w:pPr>
            <w:r>
              <w:rPr>
                <w:sz w:val="22"/>
              </w:rPr>
              <w:t>21.035,61</w:t>
            </w:r>
          </w:p>
        </w:tc>
        <w:tc>
          <w:tcPr>
            <w:tcW w:w="1428" w:type="dxa"/>
            <w:tcBorders>
              <w:top w:val="single" w:sz="2" w:space="0" w:color="000000"/>
              <w:left w:val="single" w:sz="2" w:space="0" w:color="000000"/>
              <w:bottom w:val="single" w:sz="2" w:space="0" w:color="000000"/>
              <w:right w:val="single" w:sz="2" w:space="0" w:color="000000"/>
            </w:tcBorders>
          </w:tcPr>
          <w:p w14:paraId="47010F11" w14:textId="77777777" w:rsidR="001B5747" w:rsidRDefault="00434CAE">
            <w:pPr>
              <w:spacing w:after="0" w:line="259" w:lineRule="auto"/>
              <w:ind w:left="0" w:right="12" w:firstLine="0"/>
              <w:jc w:val="right"/>
            </w:pPr>
            <w:r>
              <w:rPr>
                <w:sz w:val="22"/>
              </w:rPr>
              <w:t>10,00</w:t>
            </w:r>
          </w:p>
        </w:tc>
        <w:tc>
          <w:tcPr>
            <w:tcW w:w="1556" w:type="dxa"/>
            <w:tcBorders>
              <w:top w:val="single" w:sz="2" w:space="0" w:color="000000"/>
              <w:left w:val="single" w:sz="2" w:space="0" w:color="000000"/>
              <w:bottom w:val="single" w:sz="2" w:space="0" w:color="000000"/>
              <w:right w:val="single" w:sz="2" w:space="0" w:color="000000"/>
            </w:tcBorders>
          </w:tcPr>
          <w:p w14:paraId="0EABC9A8" w14:textId="77777777" w:rsidR="001B5747" w:rsidRDefault="00434CAE">
            <w:pPr>
              <w:spacing w:after="0" w:line="259" w:lineRule="auto"/>
              <w:ind w:left="0" w:right="11" w:firstLine="0"/>
              <w:jc w:val="right"/>
            </w:pPr>
            <w:r>
              <w:rPr>
                <w:sz w:val="22"/>
              </w:rPr>
              <w:t>21.045,61</w:t>
            </w:r>
          </w:p>
        </w:tc>
        <w:tc>
          <w:tcPr>
            <w:tcW w:w="1417" w:type="dxa"/>
            <w:tcBorders>
              <w:top w:val="single" w:sz="2" w:space="0" w:color="000000"/>
              <w:left w:val="single" w:sz="2" w:space="0" w:color="000000"/>
              <w:bottom w:val="single" w:sz="2" w:space="0" w:color="000000"/>
              <w:right w:val="single" w:sz="2" w:space="0" w:color="000000"/>
            </w:tcBorders>
          </w:tcPr>
          <w:p w14:paraId="6F63FAA2" w14:textId="77777777" w:rsidR="001B5747" w:rsidRDefault="00434CAE">
            <w:pPr>
              <w:spacing w:after="0" w:line="259" w:lineRule="auto"/>
              <w:ind w:left="0" w:right="1" w:firstLine="0"/>
              <w:jc w:val="right"/>
            </w:pPr>
            <w:r>
              <w:rPr>
                <w:sz w:val="22"/>
              </w:rPr>
              <w:t>-310,06</w:t>
            </w:r>
          </w:p>
        </w:tc>
      </w:tr>
      <w:tr w:rsidR="001B5747" w14:paraId="27573E60" w14:textId="77777777">
        <w:trPr>
          <w:trHeight w:val="319"/>
        </w:trPr>
        <w:tc>
          <w:tcPr>
            <w:tcW w:w="1126" w:type="dxa"/>
            <w:tcBorders>
              <w:top w:val="single" w:sz="2" w:space="0" w:color="000000"/>
              <w:left w:val="single" w:sz="2" w:space="0" w:color="000000"/>
              <w:bottom w:val="single" w:sz="2" w:space="0" w:color="000000"/>
              <w:right w:val="single" w:sz="2" w:space="0" w:color="000000"/>
            </w:tcBorders>
          </w:tcPr>
          <w:p w14:paraId="4B435F1C" w14:textId="77777777" w:rsidR="001B5747" w:rsidRDefault="00434CAE">
            <w:pPr>
              <w:spacing w:after="0" w:line="259" w:lineRule="auto"/>
              <w:ind w:left="9" w:firstLine="0"/>
              <w:jc w:val="center"/>
            </w:pPr>
            <w:r>
              <w:t>3</w:t>
            </w:r>
          </w:p>
        </w:tc>
        <w:tc>
          <w:tcPr>
            <w:tcW w:w="1556" w:type="dxa"/>
            <w:tcBorders>
              <w:top w:val="single" w:sz="2" w:space="0" w:color="000000"/>
              <w:left w:val="single" w:sz="2" w:space="0" w:color="000000"/>
              <w:bottom w:val="single" w:sz="2" w:space="0" w:color="000000"/>
              <w:right w:val="single" w:sz="2" w:space="0" w:color="000000"/>
            </w:tcBorders>
          </w:tcPr>
          <w:p w14:paraId="72A4A051" w14:textId="77777777" w:rsidR="001B5747" w:rsidRDefault="00434CAE">
            <w:pPr>
              <w:spacing w:after="0" w:line="259" w:lineRule="auto"/>
              <w:ind w:left="0" w:firstLine="0"/>
              <w:jc w:val="right"/>
            </w:pPr>
            <w:r>
              <w:rPr>
                <w:sz w:val="22"/>
              </w:rPr>
              <w:t>744.781,07</w:t>
            </w:r>
          </w:p>
        </w:tc>
        <w:tc>
          <w:tcPr>
            <w:tcW w:w="1417" w:type="dxa"/>
            <w:tcBorders>
              <w:top w:val="single" w:sz="2" w:space="0" w:color="000000"/>
              <w:left w:val="single" w:sz="2" w:space="0" w:color="000000"/>
              <w:bottom w:val="single" w:sz="2" w:space="0" w:color="000000"/>
              <w:right w:val="single" w:sz="2" w:space="0" w:color="000000"/>
            </w:tcBorders>
          </w:tcPr>
          <w:p w14:paraId="30A739E4" w14:textId="77777777" w:rsidR="001B5747" w:rsidRDefault="00434CAE">
            <w:pPr>
              <w:spacing w:after="0" w:line="259" w:lineRule="auto"/>
              <w:ind w:left="0" w:firstLine="0"/>
              <w:jc w:val="right"/>
            </w:pPr>
            <w:r>
              <w:rPr>
                <w:sz w:val="22"/>
              </w:rPr>
              <w:t>507.860,47</w:t>
            </w:r>
          </w:p>
        </w:tc>
        <w:tc>
          <w:tcPr>
            <w:tcW w:w="1428" w:type="dxa"/>
            <w:tcBorders>
              <w:top w:val="single" w:sz="2" w:space="0" w:color="000000"/>
              <w:left w:val="single" w:sz="2" w:space="0" w:color="000000"/>
              <w:bottom w:val="single" w:sz="2" w:space="0" w:color="000000"/>
              <w:right w:val="single" w:sz="2" w:space="0" w:color="000000"/>
            </w:tcBorders>
          </w:tcPr>
          <w:p w14:paraId="1A649A0D" w14:textId="77777777" w:rsidR="001B5747" w:rsidRDefault="00434CAE">
            <w:pPr>
              <w:spacing w:after="0" w:line="259" w:lineRule="auto"/>
              <w:ind w:left="0" w:right="12" w:firstLine="0"/>
              <w:jc w:val="right"/>
            </w:pPr>
            <w:r>
              <w:rPr>
                <w:sz w:val="22"/>
              </w:rPr>
              <w:t>55.874,05</w:t>
            </w:r>
          </w:p>
        </w:tc>
        <w:tc>
          <w:tcPr>
            <w:tcW w:w="1556" w:type="dxa"/>
            <w:tcBorders>
              <w:top w:val="single" w:sz="2" w:space="0" w:color="000000"/>
              <w:left w:val="single" w:sz="2" w:space="0" w:color="000000"/>
              <w:bottom w:val="single" w:sz="2" w:space="0" w:color="000000"/>
              <w:right w:val="single" w:sz="2" w:space="0" w:color="000000"/>
            </w:tcBorders>
          </w:tcPr>
          <w:p w14:paraId="20769D5F" w14:textId="77777777" w:rsidR="001B5747" w:rsidRDefault="00434CAE">
            <w:pPr>
              <w:spacing w:after="0" w:line="259" w:lineRule="auto"/>
              <w:ind w:left="0" w:right="11" w:firstLine="0"/>
              <w:jc w:val="right"/>
            </w:pPr>
            <w:r>
              <w:rPr>
                <w:sz w:val="22"/>
              </w:rPr>
              <w:t>563.734,52</w:t>
            </w:r>
          </w:p>
        </w:tc>
        <w:tc>
          <w:tcPr>
            <w:tcW w:w="1417" w:type="dxa"/>
            <w:tcBorders>
              <w:top w:val="single" w:sz="2" w:space="0" w:color="000000"/>
              <w:left w:val="single" w:sz="2" w:space="0" w:color="000000"/>
              <w:bottom w:val="single" w:sz="2" w:space="0" w:color="000000"/>
              <w:right w:val="single" w:sz="2" w:space="0" w:color="000000"/>
            </w:tcBorders>
          </w:tcPr>
          <w:p w14:paraId="01800548" w14:textId="77777777" w:rsidR="001B5747" w:rsidRDefault="00434CAE">
            <w:pPr>
              <w:spacing w:after="0" w:line="259" w:lineRule="auto"/>
              <w:ind w:left="208" w:firstLine="0"/>
              <w:jc w:val="left"/>
            </w:pPr>
            <w:r>
              <w:rPr>
                <w:sz w:val="22"/>
              </w:rPr>
              <w:t>-181.046,55</w:t>
            </w:r>
          </w:p>
        </w:tc>
      </w:tr>
      <w:tr w:rsidR="001B5747" w14:paraId="7C5B26B9" w14:textId="77777777">
        <w:trPr>
          <w:trHeight w:val="314"/>
        </w:trPr>
        <w:tc>
          <w:tcPr>
            <w:tcW w:w="1126" w:type="dxa"/>
            <w:tcBorders>
              <w:top w:val="single" w:sz="2" w:space="0" w:color="000000"/>
              <w:left w:val="nil"/>
              <w:bottom w:val="nil"/>
              <w:right w:val="nil"/>
            </w:tcBorders>
          </w:tcPr>
          <w:p w14:paraId="5900AA96" w14:textId="77777777" w:rsidR="001B5747" w:rsidRDefault="001B5747">
            <w:pPr>
              <w:spacing w:after="160" w:line="259" w:lineRule="auto"/>
              <w:ind w:left="0" w:firstLine="0"/>
              <w:jc w:val="left"/>
            </w:pPr>
          </w:p>
        </w:tc>
        <w:tc>
          <w:tcPr>
            <w:tcW w:w="1556" w:type="dxa"/>
            <w:tcBorders>
              <w:top w:val="single" w:sz="2" w:space="0" w:color="000000"/>
              <w:left w:val="nil"/>
              <w:bottom w:val="nil"/>
              <w:right w:val="nil"/>
            </w:tcBorders>
          </w:tcPr>
          <w:p w14:paraId="099D2D4D" w14:textId="77777777" w:rsidR="001B5747" w:rsidRDefault="001B5747">
            <w:pPr>
              <w:spacing w:after="160" w:line="259" w:lineRule="auto"/>
              <w:ind w:left="0" w:firstLine="0"/>
              <w:jc w:val="left"/>
            </w:pPr>
          </w:p>
        </w:tc>
        <w:tc>
          <w:tcPr>
            <w:tcW w:w="1417" w:type="dxa"/>
            <w:tcBorders>
              <w:top w:val="single" w:sz="2" w:space="0" w:color="000000"/>
              <w:left w:val="nil"/>
              <w:bottom w:val="nil"/>
              <w:right w:val="nil"/>
            </w:tcBorders>
          </w:tcPr>
          <w:p w14:paraId="6DDF94DF" w14:textId="77777777" w:rsidR="001B5747" w:rsidRDefault="001B5747">
            <w:pPr>
              <w:spacing w:after="160" w:line="259" w:lineRule="auto"/>
              <w:ind w:left="0" w:firstLine="0"/>
              <w:jc w:val="left"/>
            </w:pPr>
          </w:p>
        </w:tc>
        <w:tc>
          <w:tcPr>
            <w:tcW w:w="1428" w:type="dxa"/>
            <w:tcBorders>
              <w:top w:val="single" w:sz="2" w:space="0" w:color="000000"/>
              <w:left w:val="nil"/>
              <w:bottom w:val="nil"/>
              <w:right w:val="nil"/>
            </w:tcBorders>
          </w:tcPr>
          <w:p w14:paraId="355F2E2A" w14:textId="77777777" w:rsidR="001B5747" w:rsidRDefault="001B5747">
            <w:pPr>
              <w:spacing w:after="160" w:line="259" w:lineRule="auto"/>
              <w:ind w:left="0" w:firstLine="0"/>
              <w:jc w:val="left"/>
            </w:pPr>
          </w:p>
        </w:tc>
        <w:tc>
          <w:tcPr>
            <w:tcW w:w="1556" w:type="dxa"/>
            <w:tcBorders>
              <w:top w:val="single" w:sz="2" w:space="0" w:color="000000"/>
              <w:left w:val="nil"/>
              <w:bottom w:val="nil"/>
              <w:right w:val="single" w:sz="2" w:space="0" w:color="000000"/>
            </w:tcBorders>
          </w:tcPr>
          <w:p w14:paraId="1F7AE48A" w14:textId="77777777" w:rsidR="001B5747" w:rsidRDefault="001B5747">
            <w:pPr>
              <w:spacing w:after="160" w:line="259" w:lineRule="auto"/>
              <w:ind w:left="0" w:firstLine="0"/>
              <w:jc w:val="left"/>
            </w:pPr>
          </w:p>
        </w:tc>
        <w:tc>
          <w:tcPr>
            <w:tcW w:w="1417" w:type="dxa"/>
            <w:tcBorders>
              <w:top w:val="single" w:sz="2" w:space="0" w:color="000000"/>
              <w:left w:val="single" w:sz="2" w:space="0" w:color="000000"/>
              <w:bottom w:val="single" w:sz="2" w:space="0" w:color="000000"/>
              <w:right w:val="single" w:sz="2" w:space="0" w:color="000000"/>
            </w:tcBorders>
          </w:tcPr>
          <w:p w14:paraId="489E4F75" w14:textId="77777777" w:rsidR="001B5747" w:rsidRDefault="00434CAE">
            <w:pPr>
              <w:spacing w:after="0" w:line="259" w:lineRule="auto"/>
              <w:ind w:left="0" w:right="11" w:firstLine="0"/>
              <w:jc w:val="right"/>
            </w:pPr>
            <w:r>
              <w:rPr>
                <w:sz w:val="22"/>
              </w:rPr>
              <w:t>-354.839,65</w:t>
            </w:r>
          </w:p>
        </w:tc>
      </w:tr>
    </w:tbl>
    <w:p w14:paraId="4FE984A3" w14:textId="77777777" w:rsidR="001B5747" w:rsidRDefault="00434CAE">
      <w:pPr>
        <w:numPr>
          <w:ilvl w:val="0"/>
          <w:numId w:val="2"/>
        </w:numPr>
        <w:spacing w:after="53" w:line="259" w:lineRule="auto"/>
        <w:ind w:hanging="347"/>
        <w:jc w:val="left"/>
      </w:pPr>
      <w:r>
        <w:rPr>
          <w:sz w:val="26"/>
        </w:rPr>
        <w:t>Ajuste por devoluciones de ingresos pendientes de aplicar a presupuesto</w:t>
      </w:r>
    </w:p>
    <w:p w14:paraId="4C923DC0" w14:textId="77777777" w:rsidR="001B5747" w:rsidRDefault="00434CAE">
      <w:pPr>
        <w:ind w:left="5" w:right="13"/>
      </w:pPr>
      <w:r>
        <w:t>Este apartado implica la realización de un ajuste en función al importe de las devoluciones de ingresos existentes a 31 de diciembre de 2023, pendientes de transferir. El presente ajuste no se encuadra en los previstos en la normativa SEC 2010 si bien se debe tener en cuenta en la medida que se trata de menores ingresos aún no contemplados en el presupuesto en tanto no se materialice la devolución de Ingresos.</w:t>
      </w:r>
    </w:p>
    <w:tbl>
      <w:tblPr>
        <w:tblStyle w:val="TableGrid"/>
        <w:tblW w:w="8440" w:type="dxa"/>
        <w:tblInd w:w="-9" w:type="dxa"/>
        <w:tblCellMar>
          <w:top w:w="0" w:type="dxa"/>
          <w:left w:w="115" w:type="dxa"/>
          <w:bottom w:w="0" w:type="dxa"/>
          <w:right w:w="115" w:type="dxa"/>
        </w:tblCellMar>
        <w:tblLook w:val="04A0" w:firstRow="1" w:lastRow="0" w:firstColumn="1" w:lastColumn="0" w:noHBand="0" w:noVBand="1"/>
      </w:tblPr>
      <w:tblGrid>
        <w:gridCol w:w="8440"/>
      </w:tblGrid>
      <w:tr w:rsidR="001B5747" w14:paraId="419724EE" w14:textId="77777777">
        <w:trPr>
          <w:trHeight w:val="338"/>
        </w:trPr>
        <w:tc>
          <w:tcPr>
            <w:tcW w:w="8440" w:type="dxa"/>
            <w:tcBorders>
              <w:top w:val="single" w:sz="2" w:space="0" w:color="000000"/>
              <w:left w:val="single" w:sz="2" w:space="0" w:color="000000"/>
              <w:bottom w:val="single" w:sz="2" w:space="0" w:color="000000"/>
              <w:right w:val="single" w:sz="2" w:space="0" w:color="000000"/>
            </w:tcBorders>
            <w:vAlign w:val="bottom"/>
          </w:tcPr>
          <w:p w14:paraId="2157D51B" w14:textId="77777777" w:rsidR="001B5747" w:rsidRDefault="00434CAE">
            <w:pPr>
              <w:spacing w:after="0" w:line="259" w:lineRule="auto"/>
              <w:ind w:left="0" w:right="14" w:firstLine="0"/>
              <w:jc w:val="center"/>
            </w:pPr>
            <w:r>
              <w:rPr>
                <w:sz w:val="22"/>
              </w:rPr>
              <w:t>Auste Devoluciones de in resos endientes de a licara resu uesto</w:t>
            </w:r>
          </w:p>
        </w:tc>
      </w:tr>
      <w:tr w:rsidR="001B5747" w14:paraId="20D7706A" w14:textId="77777777">
        <w:trPr>
          <w:trHeight w:val="373"/>
        </w:trPr>
        <w:tc>
          <w:tcPr>
            <w:tcW w:w="8440" w:type="dxa"/>
            <w:tcBorders>
              <w:top w:val="single" w:sz="2" w:space="0" w:color="000000"/>
              <w:left w:val="single" w:sz="2" w:space="0" w:color="000000"/>
              <w:bottom w:val="single" w:sz="2" w:space="0" w:color="000000"/>
              <w:right w:val="single" w:sz="2" w:space="0" w:color="000000"/>
            </w:tcBorders>
            <w:vAlign w:val="bottom"/>
          </w:tcPr>
          <w:p w14:paraId="5E709A2C" w14:textId="77777777" w:rsidR="001B5747" w:rsidRDefault="00434CAE">
            <w:pPr>
              <w:spacing w:after="0" w:line="259" w:lineRule="auto"/>
              <w:ind w:left="5" w:firstLine="0"/>
              <w:jc w:val="center"/>
            </w:pPr>
            <w:r>
              <w:rPr>
                <w:sz w:val="22"/>
              </w:rPr>
              <w:t>Saldo cuenta 418 al final del e•ercicio</w:t>
            </w:r>
          </w:p>
        </w:tc>
      </w:tr>
      <w:tr w:rsidR="001B5747" w14:paraId="1B47322D" w14:textId="77777777">
        <w:trPr>
          <w:trHeight w:val="352"/>
        </w:trPr>
        <w:tc>
          <w:tcPr>
            <w:tcW w:w="8440" w:type="dxa"/>
            <w:tcBorders>
              <w:top w:val="single" w:sz="2" w:space="0" w:color="000000"/>
              <w:left w:val="single" w:sz="2" w:space="0" w:color="000000"/>
              <w:bottom w:val="single" w:sz="2" w:space="0" w:color="000000"/>
              <w:right w:val="single" w:sz="2" w:space="0" w:color="000000"/>
            </w:tcBorders>
            <w:vAlign w:val="bottom"/>
          </w:tcPr>
          <w:p w14:paraId="0400519A" w14:textId="77777777" w:rsidR="001B5747" w:rsidRDefault="00434CAE">
            <w:pPr>
              <w:spacing w:after="0" w:line="259" w:lineRule="auto"/>
              <w:ind w:left="23" w:firstLine="0"/>
              <w:jc w:val="center"/>
            </w:pPr>
            <w:r>
              <w:rPr>
                <w:sz w:val="26"/>
              </w:rPr>
              <w:t>1.319 09</w:t>
            </w:r>
          </w:p>
        </w:tc>
      </w:tr>
    </w:tbl>
    <w:p w14:paraId="155CA8CA" w14:textId="77777777" w:rsidR="001B5747" w:rsidRDefault="00434CAE">
      <w:pPr>
        <w:spacing w:after="500" w:line="259" w:lineRule="auto"/>
        <w:ind w:left="9" w:firstLine="0"/>
        <w:jc w:val="left"/>
      </w:pPr>
      <w:r>
        <w:rPr>
          <w:noProof/>
        </w:rPr>
        <w:drawing>
          <wp:anchor distT="0" distB="0" distL="114300" distR="114300" simplePos="0" relativeHeight="251666432" behindDoc="0" locked="0" layoutInCell="1" allowOverlap="0" wp14:anchorId="3A0969C7" wp14:editId="162BBCFB">
            <wp:simplePos x="0" y="0"/>
            <wp:positionH relativeFrom="page">
              <wp:posOffset>6994565</wp:posOffset>
            </wp:positionH>
            <wp:positionV relativeFrom="page">
              <wp:posOffset>9381898</wp:posOffset>
            </wp:positionV>
            <wp:extent cx="11916" cy="5956"/>
            <wp:effectExtent l="0" t="0" r="0" b="0"/>
            <wp:wrapSquare wrapText="bothSides"/>
            <wp:docPr id="61333" name="Picture 61333"/>
            <wp:cNvGraphicFramePr/>
            <a:graphic xmlns:a="http://schemas.openxmlformats.org/drawingml/2006/main">
              <a:graphicData uri="http://schemas.openxmlformats.org/drawingml/2006/picture">
                <pic:pic xmlns:pic="http://schemas.openxmlformats.org/drawingml/2006/picture">
                  <pic:nvPicPr>
                    <pic:cNvPr id="61333" name="Picture 61333"/>
                    <pic:cNvPicPr/>
                  </pic:nvPicPr>
                  <pic:blipFill>
                    <a:blip r:embed="rId11"/>
                    <a:stretch>
                      <a:fillRect/>
                    </a:stretch>
                  </pic:blipFill>
                  <pic:spPr>
                    <a:xfrm>
                      <a:off x="0" y="0"/>
                      <a:ext cx="11916" cy="5956"/>
                    </a:xfrm>
                    <a:prstGeom prst="rect">
                      <a:avLst/>
                    </a:prstGeom>
                  </pic:spPr>
                </pic:pic>
              </a:graphicData>
            </a:graphic>
          </wp:anchor>
        </w:drawing>
      </w:r>
      <w:r>
        <w:rPr>
          <w:noProof/>
        </w:rPr>
        <w:drawing>
          <wp:anchor distT="0" distB="0" distL="114300" distR="114300" simplePos="0" relativeHeight="251667456" behindDoc="0" locked="0" layoutInCell="1" allowOverlap="0" wp14:anchorId="26FD99D0" wp14:editId="6A0295FA">
            <wp:simplePos x="0" y="0"/>
            <wp:positionH relativeFrom="page">
              <wp:posOffset>6994565</wp:posOffset>
            </wp:positionH>
            <wp:positionV relativeFrom="page">
              <wp:posOffset>8035669</wp:posOffset>
            </wp:positionV>
            <wp:extent cx="59579" cy="649287"/>
            <wp:effectExtent l="0" t="0" r="0" b="0"/>
            <wp:wrapSquare wrapText="bothSides"/>
            <wp:docPr id="61367" name="Picture 61367"/>
            <wp:cNvGraphicFramePr/>
            <a:graphic xmlns:a="http://schemas.openxmlformats.org/drawingml/2006/main">
              <a:graphicData uri="http://schemas.openxmlformats.org/drawingml/2006/picture">
                <pic:pic xmlns:pic="http://schemas.openxmlformats.org/drawingml/2006/picture">
                  <pic:nvPicPr>
                    <pic:cNvPr id="61367" name="Picture 61367"/>
                    <pic:cNvPicPr/>
                  </pic:nvPicPr>
                  <pic:blipFill>
                    <a:blip r:embed="rId9"/>
                    <a:stretch>
                      <a:fillRect/>
                    </a:stretch>
                  </pic:blipFill>
                  <pic:spPr>
                    <a:xfrm>
                      <a:off x="0" y="0"/>
                      <a:ext cx="59579" cy="649287"/>
                    </a:xfrm>
                    <a:prstGeom prst="rect">
                      <a:avLst/>
                    </a:prstGeom>
                  </pic:spPr>
                </pic:pic>
              </a:graphicData>
            </a:graphic>
          </wp:anchor>
        </w:drawing>
      </w:r>
      <w:r>
        <w:rPr>
          <w:sz w:val="30"/>
        </w:rPr>
        <w:t>2) AJUSTES DE GASTOS:</w:t>
      </w:r>
    </w:p>
    <w:p w14:paraId="1EC408F4" w14:textId="77777777" w:rsidR="001B5747" w:rsidRDefault="00434CAE">
      <w:pPr>
        <w:spacing w:after="126" w:line="259" w:lineRule="auto"/>
        <w:ind w:left="5"/>
      </w:pPr>
      <w:r>
        <w:rPr>
          <w:sz w:val="26"/>
        </w:rPr>
        <w:t>A) Gastos realizados en el ejercicio pendientes de aplicar al presupuesto.</w:t>
      </w:r>
    </w:p>
    <w:p w14:paraId="61983BA0" w14:textId="77777777" w:rsidR="001B5747" w:rsidRDefault="00434CAE">
      <w:pPr>
        <w:spacing w:after="256"/>
        <w:ind w:left="5" w:right="13"/>
      </w:pPr>
      <w:r>
        <w:t>Estos son los gastos recogidos en la cuenta 413 en su haber por el importe de los pendientes de aplicar a 31 de diciembre y, en su debe, por los aplicados a Io largo del ejercicio, procedentes del ejercicio anterior. Los primeros aumentan el déficit en términos de contabilidad nacional, los segundos Io minoran, pues ya Io incrementaron el año anterior y en éste vuelven a incrementarlo mediante su aplicación a presupuesto, por Io que debe compensarse esta doble imputación aumentando el superávit. Pero este a</w:t>
      </w:r>
      <w:r>
        <w:t>juste como se ha descrito es aplicable en fase de liquidación del ejercicio. Debe considerarse lo dispuesto en el Manual de la IGAE de cálculo del déficit, páginas 89 y siguientes, ya que no se trata sólo del gasto que se conoce como extrajudicial de crédito, sino también de aquel que no se puede tramitar administrativamente antes de finalizar el ejercicio.</w:t>
      </w:r>
    </w:p>
    <w:p w14:paraId="283451CD" w14:textId="77777777" w:rsidR="001B5747" w:rsidRDefault="00434CAE">
      <w:pPr>
        <w:ind w:left="5" w:right="13"/>
      </w:pPr>
      <w:r>
        <w:t>A partir de lo señalado el ajuste a realizar respondería a la modificación del saldo de la cuenta 413 y la 555. En el caso de la cuenta 413 el ajuste es negativo puesto que a 31 de diciembre de 2023 la cuenta 413 ha experimentado un aumento de su saldo con respecto al 31 de diciembre de 2022. Así mismo, en el caso de la cuenta 555 por pagos</w:t>
      </w:r>
    </w:p>
    <w:p w14:paraId="7A32F5CB" w14:textId="77777777" w:rsidR="001B5747" w:rsidRDefault="001B5747">
      <w:pPr>
        <w:sectPr w:rsidR="001B5747">
          <w:headerReference w:type="even" r:id="rId12"/>
          <w:headerReference w:type="default" r:id="rId13"/>
          <w:footerReference w:type="even" r:id="rId14"/>
          <w:footerReference w:type="default" r:id="rId15"/>
          <w:headerReference w:type="first" r:id="rId16"/>
          <w:footerReference w:type="first" r:id="rId17"/>
          <w:pgSz w:w="11906" w:h="16838"/>
          <w:pgMar w:top="2669" w:right="1689" w:bottom="1876" w:left="1698" w:header="769" w:footer="1116" w:gutter="0"/>
          <w:cols w:space="720"/>
        </w:sectPr>
      </w:pPr>
    </w:p>
    <w:p w14:paraId="100C6229" w14:textId="77777777" w:rsidR="001B5747" w:rsidRDefault="00434CAE">
      <w:pPr>
        <w:spacing w:after="208" w:line="216" w:lineRule="auto"/>
        <w:ind w:left="0" w:firstLine="9"/>
        <w:jc w:val="left"/>
      </w:pPr>
      <w:r>
        <w:rPr>
          <w:rFonts w:ascii="Calibri" w:eastAsia="Calibri" w:hAnsi="Calibri" w:cs="Calibri"/>
          <w:sz w:val="22"/>
        </w:rPr>
        <w:t>pendientes de aplicación, no constan estos tipos de pagos, por tanto, no se realiza ajuste alguno.</w:t>
      </w:r>
    </w:p>
    <w:p w14:paraId="461E8AA6" w14:textId="77777777" w:rsidR="001B5747" w:rsidRDefault="00434CAE">
      <w:pPr>
        <w:spacing w:after="34" w:line="225" w:lineRule="auto"/>
        <w:ind w:left="-5" w:right="4"/>
      </w:pPr>
      <w:r>
        <w:rPr>
          <w:rFonts w:ascii="Calibri" w:eastAsia="Calibri" w:hAnsi="Calibri" w:cs="Calibri"/>
        </w:rPr>
        <w:t>En este sentido la comparación se realizará entre la dotación a fin de ejercicio 2023 y lo que había con anterioridad. La diferencia de saldo en la cuenta 413 y en la cuenta 555 responde al siguiente detalle:</w:t>
      </w:r>
    </w:p>
    <w:tbl>
      <w:tblPr>
        <w:tblStyle w:val="TableGrid"/>
        <w:tblW w:w="8501" w:type="dxa"/>
        <w:tblInd w:w="5" w:type="dxa"/>
        <w:tblCellMar>
          <w:top w:w="0" w:type="dxa"/>
          <w:left w:w="145" w:type="dxa"/>
          <w:bottom w:w="4" w:type="dxa"/>
          <w:right w:w="50" w:type="dxa"/>
        </w:tblCellMar>
        <w:tblLook w:val="04A0" w:firstRow="1" w:lastRow="0" w:firstColumn="1" w:lastColumn="0" w:noHBand="0" w:noVBand="1"/>
      </w:tblPr>
      <w:tblGrid>
        <w:gridCol w:w="986"/>
        <w:gridCol w:w="2979"/>
        <w:gridCol w:w="1557"/>
        <w:gridCol w:w="1563"/>
        <w:gridCol w:w="1416"/>
      </w:tblGrid>
      <w:tr w:rsidR="001B5747" w14:paraId="514AB0AB" w14:textId="77777777">
        <w:trPr>
          <w:trHeight w:val="434"/>
        </w:trPr>
        <w:tc>
          <w:tcPr>
            <w:tcW w:w="985" w:type="dxa"/>
            <w:tcBorders>
              <w:top w:val="single" w:sz="2" w:space="0" w:color="000000"/>
              <w:left w:val="single" w:sz="2" w:space="0" w:color="000000"/>
              <w:bottom w:val="single" w:sz="2" w:space="0" w:color="000000"/>
              <w:right w:val="single" w:sz="2" w:space="0" w:color="000000"/>
            </w:tcBorders>
          </w:tcPr>
          <w:p w14:paraId="1CB9CE49" w14:textId="77777777" w:rsidR="001B5747" w:rsidRDefault="00434CAE">
            <w:pPr>
              <w:spacing w:after="0" w:line="259" w:lineRule="auto"/>
              <w:ind w:left="0" w:firstLine="0"/>
              <w:jc w:val="left"/>
            </w:pPr>
            <w:r>
              <w:rPr>
                <w:rFonts w:ascii="Calibri" w:eastAsia="Calibri" w:hAnsi="Calibri" w:cs="Calibri"/>
                <w:sz w:val="26"/>
              </w:rPr>
              <w:t>Cuenta</w:t>
            </w:r>
          </w:p>
        </w:tc>
        <w:tc>
          <w:tcPr>
            <w:tcW w:w="2979" w:type="dxa"/>
            <w:tcBorders>
              <w:top w:val="single" w:sz="2" w:space="0" w:color="000000"/>
              <w:left w:val="single" w:sz="2" w:space="0" w:color="000000"/>
              <w:bottom w:val="single" w:sz="2" w:space="0" w:color="000000"/>
              <w:right w:val="single" w:sz="2" w:space="0" w:color="000000"/>
            </w:tcBorders>
          </w:tcPr>
          <w:p w14:paraId="1F2B810A" w14:textId="77777777" w:rsidR="001B5747" w:rsidRDefault="00434CAE">
            <w:pPr>
              <w:spacing w:after="0" w:line="259" w:lineRule="auto"/>
              <w:ind w:left="0" w:right="91" w:firstLine="0"/>
              <w:jc w:val="center"/>
            </w:pPr>
            <w:r>
              <w:rPr>
                <w:rFonts w:ascii="Calibri" w:eastAsia="Calibri" w:hAnsi="Calibri" w:cs="Calibri"/>
                <w:sz w:val="26"/>
              </w:rPr>
              <w:t>Descripción</w:t>
            </w:r>
          </w:p>
        </w:tc>
        <w:tc>
          <w:tcPr>
            <w:tcW w:w="1557" w:type="dxa"/>
            <w:tcBorders>
              <w:top w:val="single" w:sz="2" w:space="0" w:color="000000"/>
              <w:left w:val="single" w:sz="2" w:space="0" w:color="000000"/>
              <w:bottom w:val="single" w:sz="2" w:space="0" w:color="000000"/>
              <w:right w:val="single" w:sz="2" w:space="0" w:color="000000"/>
            </w:tcBorders>
          </w:tcPr>
          <w:p w14:paraId="63023126" w14:textId="77777777" w:rsidR="001B5747" w:rsidRDefault="00434CAE">
            <w:pPr>
              <w:spacing w:after="0" w:line="259" w:lineRule="auto"/>
              <w:ind w:left="5" w:firstLine="0"/>
              <w:jc w:val="left"/>
            </w:pPr>
            <w:r>
              <w:rPr>
                <w:rFonts w:ascii="Calibri" w:eastAsia="Calibri" w:hAnsi="Calibri" w:cs="Calibri"/>
                <w:sz w:val="26"/>
              </w:rPr>
              <w:t xml:space="preserve">a) Saldo año </w:t>
            </w:r>
          </w:p>
          <w:p w14:paraId="66247ACF" w14:textId="77777777" w:rsidR="001B5747" w:rsidRDefault="00434CAE">
            <w:pPr>
              <w:spacing w:after="0" w:line="259" w:lineRule="auto"/>
              <w:ind w:left="0" w:right="96" w:firstLine="0"/>
              <w:jc w:val="center"/>
            </w:pPr>
            <w:r>
              <w:rPr>
                <w:rFonts w:ascii="Calibri" w:eastAsia="Calibri" w:hAnsi="Calibri" w:cs="Calibri"/>
              </w:rPr>
              <w:t>2022</w:t>
            </w:r>
          </w:p>
        </w:tc>
        <w:tc>
          <w:tcPr>
            <w:tcW w:w="1563" w:type="dxa"/>
            <w:tcBorders>
              <w:top w:val="single" w:sz="2" w:space="0" w:color="000000"/>
              <w:left w:val="single" w:sz="2" w:space="0" w:color="000000"/>
              <w:bottom w:val="single" w:sz="2" w:space="0" w:color="000000"/>
              <w:right w:val="single" w:sz="2" w:space="0" w:color="000000"/>
            </w:tcBorders>
          </w:tcPr>
          <w:p w14:paraId="208848A5" w14:textId="77777777" w:rsidR="001B5747" w:rsidRDefault="00434CAE">
            <w:pPr>
              <w:spacing w:after="0" w:line="259" w:lineRule="auto"/>
              <w:ind w:left="5" w:firstLine="0"/>
              <w:jc w:val="left"/>
            </w:pPr>
            <w:r>
              <w:rPr>
                <w:rFonts w:ascii="Calibri" w:eastAsia="Calibri" w:hAnsi="Calibri" w:cs="Calibri"/>
                <w:sz w:val="26"/>
              </w:rPr>
              <w:t>a) Saldo año</w:t>
            </w:r>
          </w:p>
          <w:p w14:paraId="27579592" w14:textId="77777777" w:rsidR="001B5747" w:rsidRDefault="00434CAE">
            <w:pPr>
              <w:spacing w:after="0" w:line="259" w:lineRule="auto"/>
              <w:ind w:left="0" w:right="92" w:firstLine="0"/>
              <w:jc w:val="center"/>
            </w:pPr>
            <w:r>
              <w:rPr>
                <w:rFonts w:ascii="Calibri" w:eastAsia="Calibri" w:hAnsi="Calibri" w:cs="Calibri"/>
                <w:sz w:val="26"/>
              </w:rPr>
              <w:t>2023</w:t>
            </w:r>
          </w:p>
        </w:tc>
        <w:tc>
          <w:tcPr>
            <w:tcW w:w="1416" w:type="dxa"/>
            <w:tcBorders>
              <w:top w:val="single" w:sz="2" w:space="0" w:color="000000"/>
              <w:left w:val="single" w:sz="2" w:space="0" w:color="000000"/>
              <w:bottom w:val="single" w:sz="2" w:space="0" w:color="000000"/>
              <w:right w:val="single" w:sz="2" w:space="0" w:color="000000"/>
            </w:tcBorders>
          </w:tcPr>
          <w:p w14:paraId="6611BB48" w14:textId="77777777" w:rsidR="001B5747" w:rsidRDefault="00434CAE">
            <w:pPr>
              <w:spacing w:after="0" w:line="259" w:lineRule="auto"/>
              <w:ind w:left="0" w:right="97" w:firstLine="0"/>
              <w:jc w:val="center"/>
            </w:pPr>
            <w:r>
              <w:rPr>
                <w:rFonts w:ascii="Calibri" w:eastAsia="Calibri" w:hAnsi="Calibri" w:cs="Calibri"/>
                <w:sz w:val="26"/>
              </w:rPr>
              <w:t>c) Ajuste</w:t>
            </w:r>
          </w:p>
        </w:tc>
      </w:tr>
      <w:tr w:rsidR="001B5747" w14:paraId="2A1ED051" w14:textId="77777777">
        <w:trPr>
          <w:trHeight w:val="437"/>
        </w:trPr>
        <w:tc>
          <w:tcPr>
            <w:tcW w:w="985" w:type="dxa"/>
            <w:tcBorders>
              <w:top w:val="single" w:sz="2" w:space="0" w:color="000000"/>
              <w:left w:val="single" w:sz="2" w:space="0" w:color="000000"/>
              <w:bottom w:val="single" w:sz="2" w:space="0" w:color="000000"/>
              <w:right w:val="single" w:sz="2" w:space="0" w:color="000000"/>
            </w:tcBorders>
            <w:vAlign w:val="bottom"/>
          </w:tcPr>
          <w:p w14:paraId="39685F19" w14:textId="77777777" w:rsidR="001B5747" w:rsidRDefault="00434CAE">
            <w:pPr>
              <w:spacing w:after="0" w:line="259" w:lineRule="auto"/>
              <w:ind w:left="0" w:right="96" w:firstLine="0"/>
              <w:jc w:val="center"/>
            </w:pPr>
            <w:r>
              <w:rPr>
                <w:rFonts w:ascii="Calibri" w:eastAsia="Calibri" w:hAnsi="Calibri" w:cs="Calibri"/>
                <w:sz w:val="22"/>
              </w:rPr>
              <w:t>413</w:t>
            </w:r>
          </w:p>
        </w:tc>
        <w:tc>
          <w:tcPr>
            <w:tcW w:w="2979" w:type="dxa"/>
            <w:tcBorders>
              <w:top w:val="single" w:sz="2" w:space="0" w:color="000000"/>
              <w:left w:val="single" w:sz="2" w:space="0" w:color="000000"/>
              <w:bottom w:val="single" w:sz="2" w:space="0" w:color="000000"/>
              <w:right w:val="single" w:sz="2" w:space="0" w:color="000000"/>
            </w:tcBorders>
          </w:tcPr>
          <w:p w14:paraId="741506CA" w14:textId="77777777" w:rsidR="001B5747" w:rsidRDefault="00434CAE">
            <w:pPr>
              <w:spacing w:after="0" w:line="259" w:lineRule="auto"/>
              <w:ind w:left="901" w:right="16" w:hanging="488"/>
            </w:pPr>
            <w:r>
              <w:rPr>
                <w:rFonts w:ascii="Calibri" w:eastAsia="Calibri" w:hAnsi="Calibri" w:cs="Calibri"/>
                <w:sz w:val="22"/>
              </w:rPr>
              <w:t>Facturas Pdtes. Pago Saldo 413</w:t>
            </w:r>
          </w:p>
        </w:tc>
        <w:tc>
          <w:tcPr>
            <w:tcW w:w="1557" w:type="dxa"/>
            <w:tcBorders>
              <w:top w:val="single" w:sz="2" w:space="0" w:color="000000"/>
              <w:left w:val="single" w:sz="2" w:space="0" w:color="000000"/>
              <w:bottom w:val="single" w:sz="2" w:space="0" w:color="000000"/>
              <w:right w:val="single" w:sz="2" w:space="0" w:color="000000"/>
            </w:tcBorders>
            <w:vAlign w:val="bottom"/>
          </w:tcPr>
          <w:p w14:paraId="65B262E0" w14:textId="77777777" w:rsidR="001B5747" w:rsidRDefault="00434CAE">
            <w:pPr>
              <w:spacing w:after="0" w:line="259" w:lineRule="auto"/>
              <w:ind w:left="0" w:right="35" w:firstLine="0"/>
              <w:jc w:val="right"/>
            </w:pPr>
            <w:r>
              <w:rPr>
                <w:rFonts w:ascii="Calibri" w:eastAsia="Calibri" w:hAnsi="Calibri" w:cs="Calibri"/>
                <w:sz w:val="22"/>
              </w:rPr>
              <w:t>3.381,62</w:t>
            </w:r>
          </w:p>
        </w:tc>
        <w:tc>
          <w:tcPr>
            <w:tcW w:w="1563" w:type="dxa"/>
            <w:tcBorders>
              <w:top w:val="single" w:sz="2" w:space="0" w:color="000000"/>
              <w:left w:val="single" w:sz="2" w:space="0" w:color="000000"/>
              <w:bottom w:val="single" w:sz="2" w:space="0" w:color="000000"/>
              <w:right w:val="single" w:sz="2" w:space="0" w:color="000000"/>
            </w:tcBorders>
            <w:vAlign w:val="bottom"/>
          </w:tcPr>
          <w:p w14:paraId="07881002" w14:textId="77777777" w:rsidR="001B5747" w:rsidRDefault="00434CAE">
            <w:pPr>
              <w:spacing w:after="0" w:line="259" w:lineRule="auto"/>
              <w:ind w:left="0" w:right="31" w:firstLine="0"/>
              <w:jc w:val="right"/>
            </w:pPr>
            <w:r>
              <w:rPr>
                <w:rFonts w:ascii="Calibri" w:eastAsia="Calibri" w:hAnsi="Calibri" w:cs="Calibri"/>
                <w:sz w:val="22"/>
              </w:rPr>
              <w:t>29.993,55</w:t>
            </w:r>
          </w:p>
        </w:tc>
        <w:tc>
          <w:tcPr>
            <w:tcW w:w="1416" w:type="dxa"/>
            <w:tcBorders>
              <w:top w:val="single" w:sz="2" w:space="0" w:color="000000"/>
              <w:left w:val="single" w:sz="2" w:space="0" w:color="000000"/>
              <w:bottom w:val="single" w:sz="2" w:space="0" w:color="000000"/>
              <w:right w:val="single" w:sz="2" w:space="0" w:color="000000"/>
            </w:tcBorders>
            <w:vAlign w:val="bottom"/>
          </w:tcPr>
          <w:p w14:paraId="09DACE08" w14:textId="77777777" w:rsidR="001B5747" w:rsidRDefault="00434CAE">
            <w:pPr>
              <w:spacing w:after="0" w:line="259" w:lineRule="auto"/>
              <w:ind w:left="224" w:firstLine="0"/>
              <w:jc w:val="left"/>
            </w:pPr>
            <w:r>
              <w:rPr>
                <w:rFonts w:ascii="Calibri" w:eastAsia="Calibri" w:hAnsi="Calibri" w:cs="Calibri"/>
                <w:sz w:val="22"/>
              </w:rPr>
              <w:t>-26.611,93</w:t>
            </w:r>
          </w:p>
        </w:tc>
      </w:tr>
      <w:tr w:rsidR="001B5747" w14:paraId="1FAEC6D9" w14:textId="77777777">
        <w:trPr>
          <w:trHeight w:val="437"/>
        </w:trPr>
        <w:tc>
          <w:tcPr>
            <w:tcW w:w="985" w:type="dxa"/>
            <w:tcBorders>
              <w:top w:val="single" w:sz="2" w:space="0" w:color="000000"/>
              <w:left w:val="single" w:sz="2" w:space="0" w:color="000000"/>
              <w:bottom w:val="single" w:sz="2" w:space="0" w:color="000000"/>
              <w:right w:val="single" w:sz="2" w:space="0" w:color="000000"/>
            </w:tcBorders>
            <w:vAlign w:val="bottom"/>
          </w:tcPr>
          <w:p w14:paraId="7B2A6ADF" w14:textId="77777777" w:rsidR="001B5747" w:rsidRDefault="00434CAE">
            <w:pPr>
              <w:spacing w:after="0" w:line="259" w:lineRule="auto"/>
              <w:ind w:left="0" w:right="96" w:firstLine="0"/>
              <w:jc w:val="center"/>
            </w:pPr>
            <w:r>
              <w:rPr>
                <w:rFonts w:ascii="Calibri" w:eastAsia="Calibri" w:hAnsi="Calibri" w:cs="Calibri"/>
                <w:sz w:val="22"/>
              </w:rPr>
              <w:t>555</w:t>
            </w:r>
          </w:p>
        </w:tc>
        <w:tc>
          <w:tcPr>
            <w:tcW w:w="2979" w:type="dxa"/>
            <w:tcBorders>
              <w:top w:val="single" w:sz="2" w:space="0" w:color="000000"/>
              <w:left w:val="single" w:sz="2" w:space="0" w:color="000000"/>
              <w:bottom w:val="single" w:sz="2" w:space="0" w:color="000000"/>
              <w:right w:val="single" w:sz="2" w:space="0" w:color="000000"/>
            </w:tcBorders>
          </w:tcPr>
          <w:p w14:paraId="2552D6BD" w14:textId="77777777" w:rsidR="001B5747" w:rsidRDefault="00434CAE">
            <w:pPr>
              <w:spacing w:after="0" w:line="259" w:lineRule="auto"/>
              <w:ind w:left="900" w:hanging="600"/>
            </w:pPr>
            <w:r>
              <w:rPr>
                <w:rFonts w:ascii="Calibri" w:eastAsia="Calibri" w:hAnsi="Calibri" w:cs="Calibri"/>
                <w:sz w:val="22"/>
              </w:rPr>
              <w:t>Pagos pdtes. de aplicar Saldo 555</w:t>
            </w:r>
          </w:p>
        </w:tc>
        <w:tc>
          <w:tcPr>
            <w:tcW w:w="1557" w:type="dxa"/>
            <w:tcBorders>
              <w:top w:val="single" w:sz="2" w:space="0" w:color="000000"/>
              <w:left w:val="single" w:sz="2" w:space="0" w:color="000000"/>
              <w:bottom w:val="single" w:sz="2" w:space="0" w:color="000000"/>
              <w:right w:val="single" w:sz="2" w:space="0" w:color="000000"/>
            </w:tcBorders>
            <w:vAlign w:val="bottom"/>
          </w:tcPr>
          <w:p w14:paraId="7604CF86" w14:textId="77777777" w:rsidR="001B5747" w:rsidRDefault="00434CAE">
            <w:pPr>
              <w:spacing w:after="0" w:line="259" w:lineRule="auto"/>
              <w:ind w:left="0" w:right="25" w:firstLine="0"/>
              <w:jc w:val="right"/>
            </w:pPr>
            <w:r>
              <w:rPr>
                <w:rFonts w:ascii="Calibri" w:eastAsia="Calibri" w:hAnsi="Calibri" w:cs="Calibri"/>
                <w:sz w:val="22"/>
              </w:rPr>
              <w:t>0,00</w:t>
            </w:r>
          </w:p>
        </w:tc>
        <w:tc>
          <w:tcPr>
            <w:tcW w:w="1563" w:type="dxa"/>
            <w:tcBorders>
              <w:top w:val="single" w:sz="2" w:space="0" w:color="000000"/>
              <w:left w:val="single" w:sz="2" w:space="0" w:color="000000"/>
              <w:bottom w:val="single" w:sz="2" w:space="0" w:color="000000"/>
              <w:right w:val="single" w:sz="2" w:space="0" w:color="000000"/>
            </w:tcBorders>
            <w:vAlign w:val="bottom"/>
          </w:tcPr>
          <w:p w14:paraId="319A30BB" w14:textId="77777777" w:rsidR="001B5747" w:rsidRDefault="00434CAE">
            <w:pPr>
              <w:spacing w:after="0" w:line="259" w:lineRule="auto"/>
              <w:ind w:left="0" w:right="31" w:firstLine="0"/>
              <w:jc w:val="right"/>
            </w:pPr>
            <w:r>
              <w:rPr>
                <w:rFonts w:ascii="Calibri" w:eastAsia="Calibri" w:hAnsi="Calibri" w:cs="Calibri"/>
                <w:sz w:val="22"/>
              </w:rPr>
              <w:t>0,00</w:t>
            </w:r>
          </w:p>
        </w:tc>
        <w:tc>
          <w:tcPr>
            <w:tcW w:w="1416" w:type="dxa"/>
            <w:tcBorders>
              <w:top w:val="single" w:sz="2" w:space="0" w:color="000000"/>
              <w:left w:val="single" w:sz="2" w:space="0" w:color="000000"/>
              <w:bottom w:val="single" w:sz="2" w:space="0" w:color="000000"/>
              <w:right w:val="single" w:sz="2" w:space="0" w:color="000000"/>
            </w:tcBorders>
            <w:vAlign w:val="bottom"/>
          </w:tcPr>
          <w:p w14:paraId="034C42E4" w14:textId="77777777" w:rsidR="001B5747" w:rsidRDefault="00434CAE">
            <w:pPr>
              <w:spacing w:after="0" w:line="259" w:lineRule="auto"/>
              <w:ind w:left="0" w:right="30" w:firstLine="0"/>
              <w:jc w:val="right"/>
            </w:pPr>
            <w:r>
              <w:rPr>
                <w:rFonts w:ascii="Calibri" w:eastAsia="Calibri" w:hAnsi="Calibri" w:cs="Calibri"/>
                <w:sz w:val="22"/>
              </w:rPr>
              <w:t>0,00</w:t>
            </w:r>
          </w:p>
        </w:tc>
      </w:tr>
      <w:tr w:rsidR="001B5747" w14:paraId="492AF5A8" w14:textId="77777777">
        <w:trPr>
          <w:trHeight w:val="239"/>
        </w:trPr>
        <w:tc>
          <w:tcPr>
            <w:tcW w:w="985" w:type="dxa"/>
            <w:tcBorders>
              <w:top w:val="single" w:sz="2" w:space="0" w:color="000000"/>
              <w:left w:val="nil"/>
              <w:bottom w:val="nil"/>
              <w:right w:val="single" w:sz="2" w:space="0" w:color="000000"/>
            </w:tcBorders>
          </w:tcPr>
          <w:p w14:paraId="0F0F3825" w14:textId="77777777" w:rsidR="001B5747" w:rsidRDefault="001B5747">
            <w:pPr>
              <w:spacing w:after="160" w:line="259" w:lineRule="auto"/>
              <w:ind w:left="0" w:firstLine="0"/>
              <w:jc w:val="left"/>
            </w:pPr>
          </w:p>
        </w:tc>
        <w:tc>
          <w:tcPr>
            <w:tcW w:w="2979" w:type="dxa"/>
            <w:tcBorders>
              <w:top w:val="single" w:sz="2" w:space="0" w:color="000000"/>
              <w:left w:val="single" w:sz="2" w:space="0" w:color="000000"/>
              <w:bottom w:val="single" w:sz="2" w:space="0" w:color="000000"/>
              <w:right w:val="single" w:sz="2" w:space="0" w:color="000000"/>
            </w:tcBorders>
          </w:tcPr>
          <w:p w14:paraId="55E9AE98" w14:textId="77777777" w:rsidR="001B5747" w:rsidRDefault="00434CAE">
            <w:pPr>
              <w:spacing w:after="0" w:line="259" w:lineRule="auto"/>
              <w:ind w:left="0" w:right="100" w:firstLine="0"/>
              <w:jc w:val="center"/>
            </w:pPr>
            <w:r>
              <w:rPr>
                <w:rFonts w:ascii="Calibri" w:eastAsia="Calibri" w:hAnsi="Calibri" w:cs="Calibri"/>
                <w:sz w:val="22"/>
              </w:rPr>
              <w:t>TOTAL</w:t>
            </w:r>
          </w:p>
        </w:tc>
        <w:tc>
          <w:tcPr>
            <w:tcW w:w="1557" w:type="dxa"/>
            <w:tcBorders>
              <w:top w:val="single" w:sz="2" w:space="0" w:color="000000"/>
              <w:left w:val="single" w:sz="2" w:space="0" w:color="000000"/>
              <w:bottom w:val="single" w:sz="2" w:space="0" w:color="000000"/>
              <w:right w:val="single" w:sz="2" w:space="0" w:color="000000"/>
            </w:tcBorders>
          </w:tcPr>
          <w:p w14:paraId="00DBDE2E" w14:textId="77777777" w:rsidR="001B5747" w:rsidRDefault="00434CAE">
            <w:pPr>
              <w:spacing w:after="0" w:line="259" w:lineRule="auto"/>
              <w:ind w:left="0" w:right="35" w:firstLine="0"/>
              <w:jc w:val="right"/>
            </w:pPr>
            <w:r>
              <w:rPr>
                <w:rFonts w:ascii="Calibri" w:eastAsia="Calibri" w:hAnsi="Calibri" w:cs="Calibri"/>
                <w:sz w:val="22"/>
              </w:rPr>
              <w:t>3.381,62</w:t>
            </w:r>
          </w:p>
        </w:tc>
        <w:tc>
          <w:tcPr>
            <w:tcW w:w="1563" w:type="dxa"/>
            <w:tcBorders>
              <w:top w:val="single" w:sz="2" w:space="0" w:color="000000"/>
              <w:left w:val="single" w:sz="2" w:space="0" w:color="000000"/>
              <w:bottom w:val="single" w:sz="2" w:space="0" w:color="000000"/>
              <w:right w:val="single" w:sz="2" w:space="0" w:color="000000"/>
            </w:tcBorders>
          </w:tcPr>
          <w:p w14:paraId="0DE73FD7" w14:textId="77777777" w:rsidR="001B5747" w:rsidRDefault="00434CAE">
            <w:pPr>
              <w:spacing w:after="0" w:line="259" w:lineRule="auto"/>
              <w:ind w:left="0" w:right="31" w:firstLine="0"/>
              <w:jc w:val="right"/>
            </w:pPr>
            <w:r>
              <w:rPr>
                <w:rFonts w:ascii="Calibri" w:eastAsia="Calibri" w:hAnsi="Calibri" w:cs="Calibri"/>
                <w:sz w:val="22"/>
              </w:rPr>
              <w:t>29.993,55</w:t>
            </w:r>
          </w:p>
        </w:tc>
        <w:tc>
          <w:tcPr>
            <w:tcW w:w="1416" w:type="dxa"/>
            <w:tcBorders>
              <w:top w:val="single" w:sz="2" w:space="0" w:color="000000"/>
              <w:left w:val="single" w:sz="2" w:space="0" w:color="000000"/>
              <w:bottom w:val="single" w:sz="2" w:space="0" w:color="000000"/>
              <w:right w:val="single" w:sz="2" w:space="0" w:color="000000"/>
            </w:tcBorders>
          </w:tcPr>
          <w:p w14:paraId="7B88C643" w14:textId="77777777" w:rsidR="001B5747" w:rsidRDefault="00434CAE">
            <w:pPr>
              <w:spacing w:after="0" w:line="259" w:lineRule="auto"/>
              <w:ind w:left="224" w:firstLine="0"/>
              <w:jc w:val="left"/>
            </w:pPr>
            <w:r>
              <w:rPr>
                <w:rFonts w:ascii="Calibri" w:eastAsia="Calibri" w:hAnsi="Calibri" w:cs="Calibri"/>
                <w:sz w:val="22"/>
              </w:rPr>
              <w:t>-26.611,93</w:t>
            </w:r>
          </w:p>
        </w:tc>
      </w:tr>
    </w:tbl>
    <w:p w14:paraId="101F1343" w14:textId="77777777" w:rsidR="001B5747" w:rsidRDefault="00434CAE">
      <w:pPr>
        <w:spacing w:after="34" w:line="225" w:lineRule="auto"/>
        <w:ind w:left="-5" w:right="4"/>
      </w:pPr>
      <w:r>
        <w:rPr>
          <w:noProof/>
        </w:rPr>
        <w:drawing>
          <wp:anchor distT="0" distB="0" distL="114300" distR="114300" simplePos="0" relativeHeight="251668480" behindDoc="0" locked="0" layoutInCell="1" allowOverlap="0" wp14:anchorId="00409AB9" wp14:editId="497C6B32">
            <wp:simplePos x="0" y="0"/>
            <wp:positionH relativeFrom="page">
              <wp:posOffset>6994565</wp:posOffset>
            </wp:positionH>
            <wp:positionV relativeFrom="page">
              <wp:posOffset>8035669</wp:posOffset>
            </wp:positionV>
            <wp:extent cx="59579" cy="649287"/>
            <wp:effectExtent l="0" t="0" r="0" b="0"/>
            <wp:wrapSquare wrapText="bothSides"/>
            <wp:docPr id="64484" name="Picture 64484"/>
            <wp:cNvGraphicFramePr/>
            <a:graphic xmlns:a="http://schemas.openxmlformats.org/drawingml/2006/main">
              <a:graphicData uri="http://schemas.openxmlformats.org/drawingml/2006/picture">
                <pic:pic xmlns:pic="http://schemas.openxmlformats.org/drawingml/2006/picture">
                  <pic:nvPicPr>
                    <pic:cNvPr id="64484" name="Picture 64484"/>
                    <pic:cNvPicPr/>
                  </pic:nvPicPr>
                  <pic:blipFill>
                    <a:blip r:embed="rId9"/>
                    <a:stretch>
                      <a:fillRect/>
                    </a:stretch>
                  </pic:blipFill>
                  <pic:spPr>
                    <a:xfrm>
                      <a:off x="0" y="0"/>
                      <a:ext cx="59579" cy="649287"/>
                    </a:xfrm>
                    <a:prstGeom prst="rect">
                      <a:avLst/>
                    </a:prstGeom>
                  </pic:spPr>
                </pic:pic>
              </a:graphicData>
            </a:graphic>
          </wp:anchor>
        </w:drawing>
      </w:r>
      <w:r>
        <w:rPr>
          <w:noProof/>
        </w:rPr>
        <w:drawing>
          <wp:anchor distT="0" distB="0" distL="114300" distR="114300" simplePos="0" relativeHeight="251669504" behindDoc="0" locked="0" layoutInCell="1" allowOverlap="0" wp14:anchorId="45293BA6" wp14:editId="59E23967">
            <wp:simplePos x="0" y="0"/>
            <wp:positionH relativeFrom="page">
              <wp:posOffset>6786039</wp:posOffset>
            </wp:positionH>
            <wp:positionV relativeFrom="page">
              <wp:posOffset>9274676</wp:posOffset>
            </wp:positionV>
            <wp:extent cx="268105" cy="708854"/>
            <wp:effectExtent l="0" t="0" r="0" b="0"/>
            <wp:wrapSquare wrapText="bothSides"/>
            <wp:docPr id="64485" name="Picture 64485"/>
            <wp:cNvGraphicFramePr/>
            <a:graphic xmlns:a="http://schemas.openxmlformats.org/drawingml/2006/main">
              <a:graphicData uri="http://schemas.openxmlformats.org/drawingml/2006/picture">
                <pic:pic xmlns:pic="http://schemas.openxmlformats.org/drawingml/2006/picture">
                  <pic:nvPicPr>
                    <pic:cNvPr id="64485" name="Picture 64485"/>
                    <pic:cNvPicPr/>
                  </pic:nvPicPr>
                  <pic:blipFill>
                    <a:blip r:embed="rId18"/>
                    <a:stretch>
                      <a:fillRect/>
                    </a:stretch>
                  </pic:blipFill>
                  <pic:spPr>
                    <a:xfrm>
                      <a:off x="0" y="0"/>
                      <a:ext cx="268105" cy="708854"/>
                    </a:xfrm>
                    <a:prstGeom prst="rect">
                      <a:avLst/>
                    </a:prstGeom>
                  </pic:spPr>
                </pic:pic>
              </a:graphicData>
            </a:graphic>
          </wp:anchor>
        </w:drawing>
      </w:r>
      <w:r>
        <w:rPr>
          <w:noProof/>
        </w:rPr>
        <w:drawing>
          <wp:anchor distT="0" distB="0" distL="114300" distR="114300" simplePos="0" relativeHeight="251670528" behindDoc="0" locked="0" layoutInCell="1" allowOverlap="0" wp14:anchorId="56C1060C" wp14:editId="4611EE33">
            <wp:simplePos x="0" y="0"/>
            <wp:positionH relativeFrom="page">
              <wp:posOffset>6994565</wp:posOffset>
            </wp:positionH>
            <wp:positionV relativeFrom="page">
              <wp:posOffset>9381898</wp:posOffset>
            </wp:positionV>
            <wp:extent cx="11916" cy="5956"/>
            <wp:effectExtent l="0" t="0" r="0" b="0"/>
            <wp:wrapSquare wrapText="bothSides"/>
            <wp:docPr id="64450" name="Picture 64450"/>
            <wp:cNvGraphicFramePr/>
            <a:graphic xmlns:a="http://schemas.openxmlformats.org/drawingml/2006/main">
              <a:graphicData uri="http://schemas.openxmlformats.org/drawingml/2006/picture">
                <pic:pic xmlns:pic="http://schemas.openxmlformats.org/drawingml/2006/picture">
                  <pic:nvPicPr>
                    <pic:cNvPr id="64450" name="Picture 64450"/>
                    <pic:cNvPicPr/>
                  </pic:nvPicPr>
                  <pic:blipFill>
                    <a:blip r:embed="rId11"/>
                    <a:stretch>
                      <a:fillRect/>
                    </a:stretch>
                  </pic:blipFill>
                  <pic:spPr>
                    <a:xfrm>
                      <a:off x="0" y="0"/>
                      <a:ext cx="11916" cy="5956"/>
                    </a:xfrm>
                    <a:prstGeom prst="rect">
                      <a:avLst/>
                    </a:prstGeom>
                  </pic:spPr>
                </pic:pic>
              </a:graphicData>
            </a:graphic>
          </wp:anchor>
        </w:drawing>
      </w:r>
      <w:r>
        <w:rPr>
          <w:rFonts w:ascii="Calibri" w:eastAsia="Calibri" w:hAnsi="Calibri" w:cs="Calibri"/>
        </w:rPr>
        <w:t>Por Io anterior, siguiendo los modelos previstos para la presentación de documentación al ministerio se obtiene el siguiente cuadro:</w:t>
      </w:r>
    </w:p>
    <w:tbl>
      <w:tblPr>
        <w:tblStyle w:val="TableGrid"/>
        <w:tblW w:w="8428" w:type="dxa"/>
        <w:tblInd w:w="4" w:type="dxa"/>
        <w:tblCellMar>
          <w:top w:w="87" w:type="dxa"/>
          <w:left w:w="72" w:type="dxa"/>
          <w:bottom w:w="0" w:type="dxa"/>
          <w:right w:w="72" w:type="dxa"/>
        </w:tblCellMar>
        <w:tblLook w:val="04A0" w:firstRow="1" w:lastRow="0" w:firstColumn="1" w:lastColumn="0" w:noHBand="0" w:noVBand="1"/>
      </w:tblPr>
      <w:tblGrid>
        <w:gridCol w:w="6942"/>
        <w:gridCol w:w="1486"/>
      </w:tblGrid>
      <w:tr w:rsidR="001B5747" w14:paraId="4B0B39C7" w14:textId="77777777">
        <w:trPr>
          <w:trHeight w:val="317"/>
        </w:trPr>
        <w:tc>
          <w:tcPr>
            <w:tcW w:w="6958" w:type="dxa"/>
            <w:tcBorders>
              <w:top w:val="single" w:sz="2" w:space="0" w:color="000000"/>
              <w:left w:val="single" w:sz="2" w:space="0" w:color="000000"/>
              <w:bottom w:val="single" w:sz="2" w:space="0" w:color="000000"/>
              <w:right w:val="single" w:sz="2" w:space="0" w:color="000000"/>
            </w:tcBorders>
          </w:tcPr>
          <w:p w14:paraId="1332B407" w14:textId="77777777" w:rsidR="001B5747" w:rsidRDefault="00434CAE">
            <w:pPr>
              <w:spacing w:after="0" w:line="259" w:lineRule="auto"/>
              <w:ind w:left="6" w:firstLine="0"/>
              <w:jc w:val="center"/>
            </w:pPr>
            <w:r>
              <w:rPr>
                <w:rFonts w:ascii="Calibri" w:eastAsia="Calibri" w:hAnsi="Calibri" w:cs="Calibri"/>
                <w:sz w:val="22"/>
              </w:rPr>
              <w:t>CONCEPTOS</w:t>
            </w:r>
          </w:p>
        </w:tc>
        <w:tc>
          <w:tcPr>
            <w:tcW w:w="1470" w:type="dxa"/>
            <w:tcBorders>
              <w:top w:val="single" w:sz="2" w:space="0" w:color="000000"/>
              <w:left w:val="single" w:sz="2" w:space="0" w:color="000000"/>
              <w:bottom w:val="single" w:sz="2" w:space="0" w:color="000000"/>
              <w:right w:val="single" w:sz="2" w:space="0" w:color="000000"/>
            </w:tcBorders>
          </w:tcPr>
          <w:p w14:paraId="1B313D59" w14:textId="77777777" w:rsidR="001B5747" w:rsidRDefault="00434CAE">
            <w:pPr>
              <w:spacing w:after="0" w:line="259" w:lineRule="auto"/>
              <w:ind w:left="4" w:firstLine="0"/>
              <w:jc w:val="center"/>
            </w:pPr>
            <w:r>
              <w:rPr>
                <w:rFonts w:ascii="Calibri" w:eastAsia="Calibri" w:hAnsi="Calibri" w:cs="Calibri"/>
              </w:rPr>
              <w:t>IMPORTES</w:t>
            </w:r>
          </w:p>
        </w:tc>
      </w:tr>
      <w:tr w:rsidR="001B5747" w14:paraId="546D1480" w14:textId="77777777">
        <w:trPr>
          <w:trHeight w:val="307"/>
        </w:trPr>
        <w:tc>
          <w:tcPr>
            <w:tcW w:w="6958" w:type="dxa"/>
            <w:tcBorders>
              <w:top w:val="single" w:sz="2" w:space="0" w:color="000000"/>
              <w:left w:val="single" w:sz="2" w:space="0" w:color="000000"/>
              <w:bottom w:val="single" w:sz="2" w:space="0" w:color="000000"/>
              <w:right w:val="single" w:sz="2" w:space="0" w:color="000000"/>
            </w:tcBorders>
          </w:tcPr>
          <w:p w14:paraId="08B454D9" w14:textId="77777777" w:rsidR="001B5747" w:rsidRDefault="00434CAE">
            <w:pPr>
              <w:spacing w:after="0" w:line="259" w:lineRule="auto"/>
              <w:ind w:left="9" w:firstLine="0"/>
              <w:jc w:val="left"/>
            </w:pPr>
            <w:r>
              <w:rPr>
                <w:rFonts w:ascii="Calibri" w:eastAsia="Calibri" w:hAnsi="Calibri" w:cs="Calibri"/>
                <w:sz w:val="22"/>
              </w:rPr>
              <w:t>a) Previsión ingresos capítulos. I a VII presupuesto corriente</w:t>
            </w:r>
          </w:p>
        </w:tc>
        <w:tc>
          <w:tcPr>
            <w:tcW w:w="1470" w:type="dxa"/>
            <w:tcBorders>
              <w:top w:val="single" w:sz="2" w:space="0" w:color="000000"/>
              <w:left w:val="single" w:sz="2" w:space="0" w:color="000000"/>
              <w:bottom w:val="single" w:sz="2" w:space="0" w:color="000000"/>
              <w:right w:val="single" w:sz="2" w:space="0" w:color="000000"/>
            </w:tcBorders>
          </w:tcPr>
          <w:p w14:paraId="0927BC3D" w14:textId="77777777" w:rsidR="001B5747" w:rsidRDefault="00434CAE">
            <w:pPr>
              <w:spacing w:after="0" w:line="259" w:lineRule="auto"/>
              <w:ind w:left="0" w:right="9" w:firstLine="0"/>
              <w:jc w:val="right"/>
            </w:pPr>
            <w:r>
              <w:rPr>
                <w:rFonts w:ascii="Calibri" w:eastAsia="Calibri" w:hAnsi="Calibri" w:cs="Calibri"/>
                <w:sz w:val="22"/>
              </w:rPr>
              <w:t>8.032.757,63</w:t>
            </w:r>
          </w:p>
        </w:tc>
      </w:tr>
      <w:tr w:rsidR="001B5747" w14:paraId="2947FCE7" w14:textId="77777777">
        <w:trPr>
          <w:trHeight w:val="310"/>
        </w:trPr>
        <w:tc>
          <w:tcPr>
            <w:tcW w:w="6958" w:type="dxa"/>
            <w:tcBorders>
              <w:top w:val="single" w:sz="2" w:space="0" w:color="000000"/>
              <w:left w:val="single" w:sz="2" w:space="0" w:color="000000"/>
              <w:bottom w:val="single" w:sz="2" w:space="0" w:color="000000"/>
              <w:right w:val="single" w:sz="2" w:space="0" w:color="000000"/>
            </w:tcBorders>
          </w:tcPr>
          <w:p w14:paraId="77B85002" w14:textId="77777777" w:rsidR="001B5747" w:rsidRDefault="00434CAE">
            <w:pPr>
              <w:spacing w:after="0" w:line="259" w:lineRule="auto"/>
              <w:ind w:left="19" w:firstLine="0"/>
              <w:jc w:val="left"/>
            </w:pPr>
            <w:r>
              <w:rPr>
                <w:rFonts w:ascii="Calibri" w:eastAsia="Calibri" w:hAnsi="Calibri" w:cs="Calibri"/>
                <w:sz w:val="22"/>
              </w:rPr>
              <w:t>b) Créditos previstos capítulos I a VII presupuesto corriente</w:t>
            </w:r>
          </w:p>
        </w:tc>
        <w:tc>
          <w:tcPr>
            <w:tcW w:w="1470" w:type="dxa"/>
            <w:tcBorders>
              <w:top w:val="single" w:sz="2" w:space="0" w:color="000000"/>
              <w:left w:val="single" w:sz="2" w:space="0" w:color="000000"/>
              <w:bottom w:val="single" w:sz="2" w:space="0" w:color="000000"/>
              <w:right w:val="single" w:sz="2" w:space="0" w:color="000000"/>
            </w:tcBorders>
          </w:tcPr>
          <w:p w14:paraId="74E250F0" w14:textId="77777777" w:rsidR="001B5747" w:rsidRDefault="00434CAE">
            <w:pPr>
              <w:spacing w:after="0" w:line="259" w:lineRule="auto"/>
              <w:ind w:left="172" w:firstLine="0"/>
              <w:jc w:val="left"/>
            </w:pPr>
            <w:r>
              <w:rPr>
                <w:rFonts w:ascii="Calibri" w:eastAsia="Calibri" w:hAnsi="Calibri" w:cs="Calibri"/>
                <w:sz w:val="22"/>
              </w:rPr>
              <w:t>7.701.171,32</w:t>
            </w:r>
          </w:p>
        </w:tc>
      </w:tr>
      <w:tr w:rsidR="001B5747" w14:paraId="52520E0E" w14:textId="77777777">
        <w:trPr>
          <w:trHeight w:val="310"/>
        </w:trPr>
        <w:tc>
          <w:tcPr>
            <w:tcW w:w="6958" w:type="dxa"/>
            <w:tcBorders>
              <w:top w:val="single" w:sz="2" w:space="0" w:color="000000"/>
              <w:left w:val="single" w:sz="2" w:space="0" w:color="000000"/>
              <w:bottom w:val="single" w:sz="2" w:space="0" w:color="000000"/>
              <w:right w:val="single" w:sz="2" w:space="0" w:color="000000"/>
            </w:tcBorders>
          </w:tcPr>
          <w:p w14:paraId="49BDEB2E" w14:textId="77777777" w:rsidR="001B5747" w:rsidRDefault="00434CAE">
            <w:pPr>
              <w:spacing w:after="0" w:line="259" w:lineRule="auto"/>
              <w:ind w:left="0" w:right="4" w:firstLine="0"/>
              <w:jc w:val="center"/>
            </w:pPr>
            <w:r>
              <w:rPr>
                <w:rFonts w:ascii="Calibri" w:eastAsia="Calibri" w:hAnsi="Calibri" w:cs="Calibri"/>
                <w:sz w:val="22"/>
              </w:rPr>
              <w:t>TOTAL (a - b)</w:t>
            </w:r>
          </w:p>
        </w:tc>
        <w:tc>
          <w:tcPr>
            <w:tcW w:w="1470" w:type="dxa"/>
            <w:tcBorders>
              <w:top w:val="single" w:sz="2" w:space="0" w:color="000000"/>
              <w:left w:val="single" w:sz="2" w:space="0" w:color="000000"/>
              <w:bottom w:val="single" w:sz="2" w:space="0" w:color="000000"/>
              <w:right w:val="single" w:sz="2" w:space="0" w:color="000000"/>
            </w:tcBorders>
          </w:tcPr>
          <w:p w14:paraId="15F42592" w14:textId="77777777" w:rsidR="001B5747" w:rsidRDefault="00434CAE">
            <w:pPr>
              <w:spacing w:after="0" w:line="259" w:lineRule="auto"/>
              <w:ind w:left="0" w:right="9" w:firstLine="0"/>
              <w:jc w:val="right"/>
            </w:pPr>
            <w:r>
              <w:rPr>
                <w:rFonts w:ascii="Calibri" w:eastAsia="Calibri" w:hAnsi="Calibri" w:cs="Calibri"/>
                <w:sz w:val="22"/>
              </w:rPr>
              <w:t>331.586,31</w:t>
            </w:r>
          </w:p>
        </w:tc>
      </w:tr>
      <w:tr w:rsidR="001B5747" w14:paraId="39DE2E4B" w14:textId="77777777">
        <w:trPr>
          <w:trHeight w:val="305"/>
        </w:trPr>
        <w:tc>
          <w:tcPr>
            <w:tcW w:w="6958" w:type="dxa"/>
            <w:tcBorders>
              <w:top w:val="single" w:sz="2" w:space="0" w:color="000000"/>
              <w:left w:val="single" w:sz="2" w:space="0" w:color="000000"/>
              <w:bottom w:val="single" w:sz="2" w:space="0" w:color="000000"/>
              <w:right w:val="nil"/>
            </w:tcBorders>
          </w:tcPr>
          <w:p w14:paraId="30F21BE2" w14:textId="77777777" w:rsidR="001B5747" w:rsidRDefault="00434CAE">
            <w:pPr>
              <w:spacing w:after="0" w:line="259" w:lineRule="auto"/>
              <w:ind w:left="1460" w:firstLine="0"/>
              <w:jc w:val="center"/>
            </w:pPr>
            <w:r>
              <w:rPr>
                <w:rFonts w:ascii="Calibri" w:eastAsia="Calibri" w:hAnsi="Calibri" w:cs="Calibri"/>
              </w:rPr>
              <w:t>AJUSTES</w:t>
            </w:r>
          </w:p>
        </w:tc>
        <w:tc>
          <w:tcPr>
            <w:tcW w:w="1470" w:type="dxa"/>
            <w:tcBorders>
              <w:top w:val="single" w:sz="2" w:space="0" w:color="000000"/>
              <w:left w:val="nil"/>
              <w:bottom w:val="single" w:sz="2" w:space="0" w:color="000000"/>
              <w:right w:val="single" w:sz="2" w:space="0" w:color="000000"/>
            </w:tcBorders>
          </w:tcPr>
          <w:p w14:paraId="53247D0D" w14:textId="77777777" w:rsidR="001B5747" w:rsidRDefault="001B5747">
            <w:pPr>
              <w:spacing w:after="160" w:line="259" w:lineRule="auto"/>
              <w:ind w:left="0" w:firstLine="0"/>
              <w:jc w:val="left"/>
            </w:pPr>
          </w:p>
        </w:tc>
      </w:tr>
      <w:tr w:rsidR="001B5747" w14:paraId="372263BF" w14:textId="77777777">
        <w:trPr>
          <w:trHeight w:val="304"/>
        </w:trPr>
        <w:tc>
          <w:tcPr>
            <w:tcW w:w="6958" w:type="dxa"/>
            <w:tcBorders>
              <w:top w:val="single" w:sz="2" w:space="0" w:color="000000"/>
              <w:left w:val="single" w:sz="2" w:space="0" w:color="000000"/>
              <w:bottom w:val="single" w:sz="2" w:space="0" w:color="000000"/>
              <w:right w:val="single" w:sz="2" w:space="0" w:color="000000"/>
            </w:tcBorders>
          </w:tcPr>
          <w:p w14:paraId="1BA2D388" w14:textId="77777777" w:rsidR="001B5747" w:rsidRDefault="00434CAE">
            <w:pPr>
              <w:spacing w:after="0" w:line="259" w:lineRule="auto"/>
              <w:ind w:left="0" w:firstLine="0"/>
              <w:jc w:val="left"/>
            </w:pPr>
            <w:r>
              <w:rPr>
                <w:rFonts w:ascii="Calibri" w:eastAsia="Calibri" w:hAnsi="Calibri" w:cs="Calibri"/>
                <w:sz w:val="22"/>
              </w:rPr>
              <w:t>Ajuste de caja</w:t>
            </w:r>
          </w:p>
        </w:tc>
        <w:tc>
          <w:tcPr>
            <w:tcW w:w="1470" w:type="dxa"/>
            <w:tcBorders>
              <w:top w:val="single" w:sz="2" w:space="0" w:color="000000"/>
              <w:left w:val="single" w:sz="2" w:space="0" w:color="000000"/>
              <w:bottom w:val="single" w:sz="2" w:space="0" w:color="000000"/>
              <w:right w:val="single" w:sz="2" w:space="0" w:color="000000"/>
            </w:tcBorders>
          </w:tcPr>
          <w:p w14:paraId="5099CB8B" w14:textId="77777777" w:rsidR="001B5747" w:rsidRDefault="00434CAE">
            <w:pPr>
              <w:spacing w:after="0" w:line="259" w:lineRule="auto"/>
              <w:ind w:left="0" w:right="9" w:firstLine="0"/>
              <w:jc w:val="right"/>
            </w:pPr>
            <w:r>
              <w:rPr>
                <w:rFonts w:ascii="Calibri" w:eastAsia="Calibri" w:hAnsi="Calibri" w:cs="Calibri"/>
                <w:sz w:val="22"/>
              </w:rPr>
              <w:t>-354.839,65</w:t>
            </w:r>
          </w:p>
        </w:tc>
      </w:tr>
      <w:tr w:rsidR="001B5747" w14:paraId="4EFE7453" w14:textId="77777777">
        <w:trPr>
          <w:trHeight w:val="310"/>
        </w:trPr>
        <w:tc>
          <w:tcPr>
            <w:tcW w:w="6958" w:type="dxa"/>
            <w:tcBorders>
              <w:top w:val="single" w:sz="2" w:space="0" w:color="000000"/>
              <w:left w:val="single" w:sz="2" w:space="0" w:color="000000"/>
              <w:bottom w:val="single" w:sz="2" w:space="0" w:color="000000"/>
              <w:right w:val="single" w:sz="2" w:space="0" w:color="000000"/>
            </w:tcBorders>
          </w:tcPr>
          <w:p w14:paraId="3D595E78" w14:textId="77777777" w:rsidR="001B5747" w:rsidRDefault="00434CAE">
            <w:pPr>
              <w:spacing w:after="0" w:line="259" w:lineRule="auto"/>
              <w:ind w:left="9" w:firstLine="0"/>
              <w:jc w:val="left"/>
            </w:pPr>
            <w:r>
              <w:rPr>
                <w:rFonts w:ascii="Calibri" w:eastAsia="Calibri" w:hAnsi="Calibri" w:cs="Calibri"/>
                <w:sz w:val="22"/>
              </w:rPr>
              <w:t>Ajuste por liquidación Pl E-2008</w:t>
            </w:r>
          </w:p>
        </w:tc>
        <w:tc>
          <w:tcPr>
            <w:tcW w:w="1470" w:type="dxa"/>
            <w:tcBorders>
              <w:top w:val="single" w:sz="2" w:space="0" w:color="000000"/>
              <w:left w:val="single" w:sz="2" w:space="0" w:color="000000"/>
              <w:bottom w:val="single" w:sz="2" w:space="0" w:color="000000"/>
              <w:right w:val="single" w:sz="2" w:space="0" w:color="000000"/>
            </w:tcBorders>
          </w:tcPr>
          <w:p w14:paraId="2889F165" w14:textId="77777777" w:rsidR="001B5747" w:rsidRDefault="00434CAE">
            <w:pPr>
              <w:spacing w:after="0" w:line="259" w:lineRule="auto"/>
              <w:ind w:left="0" w:firstLine="0"/>
              <w:jc w:val="right"/>
            </w:pPr>
            <w:r>
              <w:rPr>
                <w:rFonts w:ascii="Calibri" w:eastAsia="Calibri" w:hAnsi="Calibri" w:cs="Calibri"/>
                <w:sz w:val="22"/>
              </w:rPr>
              <w:t>0,00</w:t>
            </w:r>
          </w:p>
        </w:tc>
      </w:tr>
      <w:tr w:rsidR="001B5747" w14:paraId="525381DF" w14:textId="77777777">
        <w:trPr>
          <w:trHeight w:val="329"/>
        </w:trPr>
        <w:tc>
          <w:tcPr>
            <w:tcW w:w="6958" w:type="dxa"/>
            <w:tcBorders>
              <w:top w:val="single" w:sz="2" w:space="0" w:color="000000"/>
              <w:left w:val="single" w:sz="2" w:space="0" w:color="000000"/>
              <w:bottom w:val="single" w:sz="2" w:space="0" w:color="000000"/>
              <w:right w:val="single" w:sz="2" w:space="0" w:color="000000"/>
            </w:tcBorders>
          </w:tcPr>
          <w:p w14:paraId="12C17CAE" w14:textId="77777777" w:rsidR="001B5747" w:rsidRDefault="00434CAE">
            <w:pPr>
              <w:spacing w:after="0" w:line="259" w:lineRule="auto"/>
              <w:ind w:left="0" w:firstLine="0"/>
              <w:jc w:val="left"/>
            </w:pPr>
            <w:r>
              <w:rPr>
                <w:rFonts w:ascii="Calibri" w:eastAsia="Calibri" w:hAnsi="Calibri" w:cs="Calibri"/>
                <w:sz w:val="22"/>
              </w:rPr>
              <w:t>Ajuste por liquidación Pl E-2009</w:t>
            </w:r>
          </w:p>
        </w:tc>
        <w:tc>
          <w:tcPr>
            <w:tcW w:w="1470" w:type="dxa"/>
            <w:tcBorders>
              <w:top w:val="single" w:sz="2" w:space="0" w:color="000000"/>
              <w:left w:val="single" w:sz="2" w:space="0" w:color="000000"/>
              <w:bottom w:val="single" w:sz="2" w:space="0" w:color="000000"/>
              <w:right w:val="single" w:sz="2" w:space="0" w:color="000000"/>
            </w:tcBorders>
          </w:tcPr>
          <w:p w14:paraId="23D8E199" w14:textId="77777777" w:rsidR="001B5747" w:rsidRDefault="00434CAE">
            <w:pPr>
              <w:spacing w:after="0" w:line="259" w:lineRule="auto"/>
              <w:ind w:left="0" w:firstLine="0"/>
              <w:jc w:val="right"/>
            </w:pPr>
            <w:r>
              <w:rPr>
                <w:rFonts w:ascii="Calibri" w:eastAsia="Calibri" w:hAnsi="Calibri" w:cs="Calibri"/>
                <w:sz w:val="22"/>
              </w:rPr>
              <w:t>0,00</w:t>
            </w:r>
          </w:p>
        </w:tc>
      </w:tr>
      <w:tr w:rsidR="001B5747" w14:paraId="76248AD0" w14:textId="77777777">
        <w:trPr>
          <w:trHeight w:val="324"/>
        </w:trPr>
        <w:tc>
          <w:tcPr>
            <w:tcW w:w="6958" w:type="dxa"/>
            <w:tcBorders>
              <w:top w:val="single" w:sz="2" w:space="0" w:color="000000"/>
              <w:left w:val="single" w:sz="2" w:space="0" w:color="000000"/>
              <w:bottom w:val="single" w:sz="2" w:space="0" w:color="000000"/>
              <w:right w:val="single" w:sz="2" w:space="0" w:color="000000"/>
            </w:tcBorders>
          </w:tcPr>
          <w:p w14:paraId="68AA394D" w14:textId="77777777" w:rsidR="001B5747" w:rsidRDefault="00434CAE">
            <w:pPr>
              <w:spacing w:after="0" w:line="259" w:lineRule="auto"/>
              <w:ind w:left="0" w:firstLine="0"/>
              <w:jc w:val="left"/>
            </w:pPr>
            <w:r>
              <w:rPr>
                <w:rFonts w:ascii="Calibri" w:eastAsia="Calibri" w:hAnsi="Calibri" w:cs="Calibri"/>
                <w:sz w:val="22"/>
              </w:rPr>
              <w:t>Ajuste por liquidación Pl E-2013</w:t>
            </w:r>
          </w:p>
        </w:tc>
        <w:tc>
          <w:tcPr>
            <w:tcW w:w="1470" w:type="dxa"/>
            <w:tcBorders>
              <w:top w:val="single" w:sz="2" w:space="0" w:color="000000"/>
              <w:left w:val="single" w:sz="2" w:space="0" w:color="000000"/>
              <w:bottom w:val="single" w:sz="2" w:space="0" w:color="000000"/>
              <w:right w:val="single" w:sz="2" w:space="0" w:color="000000"/>
            </w:tcBorders>
          </w:tcPr>
          <w:p w14:paraId="65653163" w14:textId="77777777" w:rsidR="001B5747" w:rsidRDefault="00434CAE">
            <w:pPr>
              <w:spacing w:after="0" w:line="259" w:lineRule="auto"/>
              <w:ind w:left="0" w:firstLine="0"/>
              <w:jc w:val="right"/>
            </w:pPr>
            <w:r>
              <w:rPr>
                <w:rFonts w:ascii="Calibri" w:eastAsia="Calibri" w:hAnsi="Calibri" w:cs="Calibri"/>
                <w:sz w:val="22"/>
              </w:rPr>
              <w:t>0,00</w:t>
            </w:r>
          </w:p>
        </w:tc>
      </w:tr>
      <w:tr w:rsidR="001B5747" w14:paraId="14F0117D" w14:textId="77777777">
        <w:trPr>
          <w:trHeight w:val="324"/>
        </w:trPr>
        <w:tc>
          <w:tcPr>
            <w:tcW w:w="6958" w:type="dxa"/>
            <w:tcBorders>
              <w:top w:val="single" w:sz="2" w:space="0" w:color="000000"/>
              <w:left w:val="single" w:sz="2" w:space="0" w:color="000000"/>
              <w:bottom w:val="single" w:sz="2" w:space="0" w:color="000000"/>
              <w:right w:val="single" w:sz="2" w:space="0" w:color="000000"/>
            </w:tcBorders>
          </w:tcPr>
          <w:p w14:paraId="72EE4452" w14:textId="77777777" w:rsidR="001B5747" w:rsidRDefault="00434CAE">
            <w:pPr>
              <w:spacing w:after="0" w:line="259" w:lineRule="auto"/>
              <w:ind w:left="0" w:firstLine="0"/>
              <w:jc w:val="left"/>
            </w:pPr>
            <w:r>
              <w:rPr>
                <w:rFonts w:ascii="Calibri" w:eastAsia="Calibri" w:hAnsi="Calibri" w:cs="Calibri"/>
                <w:sz w:val="22"/>
              </w:rPr>
              <w:t>Ruste por gasto no imputado al presupuesto</w:t>
            </w:r>
          </w:p>
        </w:tc>
        <w:tc>
          <w:tcPr>
            <w:tcW w:w="1470" w:type="dxa"/>
            <w:tcBorders>
              <w:top w:val="single" w:sz="2" w:space="0" w:color="000000"/>
              <w:left w:val="single" w:sz="2" w:space="0" w:color="000000"/>
              <w:bottom w:val="single" w:sz="2" w:space="0" w:color="000000"/>
              <w:right w:val="single" w:sz="2" w:space="0" w:color="000000"/>
            </w:tcBorders>
          </w:tcPr>
          <w:p w14:paraId="39BFFA3F" w14:textId="77777777" w:rsidR="001B5747" w:rsidRDefault="00434CAE">
            <w:pPr>
              <w:spacing w:after="0" w:line="259" w:lineRule="auto"/>
              <w:ind w:left="0" w:right="9" w:firstLine="0"/>
              <w:jc w:val="right"/>
            </w:pPr>
            <w:r>
              <w:rPr>
                <w:rFonts w:ascii="Calibri" w:eastAsia="Calibri" w:hAnsi="Calibri" w:cs="Calibri"/>
                <w:sz w:val="22"/>
              </w:rPr>
              <w:t>-26.611,93</w:t>
            </w:r>
          </w:p>
        </w:tc>
      </w:tr>
      <w:tr w:rsidR="001B5747" w14:paraId="4BE61CD1" w14:textId="77777777">
        <w:trPr>
          <w:trHeight w:val="335"/>
        </w:trPr>
        <w:tc>
          <w:tcPr>
            <w:tcW w:w="6958" w:type="dxa"/>
            <w:tcBorders>
              <w:top w:val="single" w:sz="2" w:space="0" w:color="000000"/>
              <w:left w:val="single" w:sz="2" w:space="0" w:color="000000"/>
              <w:bottom w:val="single" w:sz="2" w:space="0" w:color="000000"/>
              <w:right w:val="single" w:sz="2" w:space="0" w:color="000000"/>
            </w:tcBorders>
          </w:tcPr>
          <w:p w14:paraId="58DBB0A4" w14:textId="77777777" w:rsidR="001B5747" w:rsidRDefault="00434CAE">
            <w:pPr>
              <w:spacing w:after="0" w:line="259" w:lineRule="auto"/>
              <w:ind w:left="9" w:firstLine="0"/>
              <w:jc w:val="left"/>
            </w:pPr>
            <w:r>
              <w:rPr>
                <w:rFonts w:ascii="Calibri" w:eastAsia="Calibri" w:hAnsi="Calibri" w:cs="Calibri"/>
                <w:sz w:val="22"/>
              </w:rPr>
              <w:t>Ajuste Devoluciones de ingresos pendientes de aplicar a presupuesto</w:t>
            </w:r>
          </w:p>
        </w:tc>
        <w:tc>
          <w:tcPr>
            <w:tcW w:w="1470" w:type="dxa"/>
            <w:tcBorders>
              <w:top w:val="single" w:sz="2" w:space="0" w:color="000000"/>
              <w:left w:val="single" w:sz="2" w:space="0" w:color="000000"/>
              <w:bottom w:val="single" w:sz="2" w:space="0" w:color="000000"/>
              <w:right w:val="single" w:sz="2" w:space="0" w:color="000000"/>
            </w:tcBorders>
          </w:tcPr>
          <w:p w14:paraId="7F14614F" w14:textId="77777777" w:rsidR="001B5747" w:rsidRDefault="00434CAE">
            <w:pPr>
              <w:spacing w:after="0" w:line="259" w:lineRule="auto"/>
              <w:ind w:left="0" w:firstLine="0"/>
              <w:jc w:val="right"/>
            </w:pPr>
            <w:r>
              <w:rPr>
                <w:rFonts w:ascii="Calibri" w:eastAsia="Calibri" w:hAnsi="Calibri" w:cs="Calibri"/>
                <w:sz w:val="22"/>
              </w:rPr>
              <w:t>-1.319,09</w:t>
            </w:r>
          </w:p>
        </w:tc>
      </w:tr>
      <w:tr w:rsidR="001B5747" w14:paraId="31A33306" w14:textId="77777777">
        <w:trPr>
          <w:trHeight w:val="314"/>
        </w:trPr>
        <w:tc>
          <w:tcPr>
            <w:tcW w:w="6958" w:type="dxa"/>
            <w:tcBorders>
              <w:top w:val="single" w:sz="2" w:space="0" w:color="000000"/>
              <w:left w:val="single" w:sz="2" w:space="0" w:color="000000"/>
              <w:bottom w:val="single" w:sz="2" w:space="0" w:color="000000"/>
              <w:right w:val="single" w:sz="2" w:space="0" w:color="000000"/>
            </w:tcBorders>
          </w:tcPr>
          <w:p w14:paraId="55EC6759" w14:textId="77777777" w:rsidR="001B5747" w:rsidRDefault="00434CAE">
            <w:pPr>
              <w:spacing w:after="0" w:line="259" w:lineRule="auto"/>
              <w:ind w:left="0" w:right="13" w:firstLine="0"/>
              <w:jc w:val="center"/>
            </w:pPr>
            <w:r>
              <w:rPr>
                <w:rFonts w:ascii="Calibri" w:eastAsia="Calibri" w:hAnsi="Calibri" w:cs="Calibri"/>
              </w:rPr>
              <w:t>TOTAL CAPACIDAD/NECESIDAD DE FINANCIACIÓN</w:t>
            </w:r>
          </w:p>
        </w:tc>
        <w:tc>
          <w:tcPr>
            <w:tcW w:w="1470" w:type="dxa"/>
            <w:tcBorders>
              <w:top w:val="single" w:sz="2" w:space="0" w:color="000000"/>
              <w:left w:val="single" w:sz="2" w:space="0" w:color="000000"/>
              <w:bottom w:val="single" w:sz="2" w:space="0" w:color="000000"/>
              <w:right w:val="single" w:sz="2" w:space="0" w:color="000000"/>
            </w:tcBorders>
          </w:tcPr>
          <w:p w14:paraId="6945B0F9" w14:textId="77777777" w:rsidR="001B5747" w:rsidRDefault="00434CAE">
            <w:pPr>
              <w:spacing w:after="0" w:line="259" w:lineRule="auto"/>
              <w:ind w:left="0" w:firstLine="0"/>
              <w:jc w:val="right"/>
            </w:pPr>
            <w:r>
              <w:rPr>
                <w:rFonts w:ascii="Calibri" w:eastAsia="Calibri" w:hAnsi="Calibri" w:cs="Calibri"/>
                <w:sz w:val="22"/>
              </w:rPr>
              <w:t>-51.184,36</w:t>
            </w:r>
          </w:p>
        </w:tc>
      </w:tr>
      <w:tr w:rsidR="001B5747" w14:paraId="37EB8200" w14:textId="77777777">
        <w:trPr>
          <w:trHeight w:val="333"/>
        </w:trPr>
        <w:tc>
          <w:tcPr>
            <w:tcW w:w="6958" w:type="dxa"/>
            <w:tcBorders>
              <w:top w:val="single" w:sz="2" w:space="0" w:color="000000"/>
              <w:left w:val="single" w:sz="2" w:space="0" w:color="000000"/>
              <w:bottom w:val="single" w:sz="2" w:space="0" w:color="000000"/>
              <w:right w:val="single" w:sz="2" w:space="0" w:color="000000"/>
            </w:tcBorders>
          </w:tcPr>
          <w:p w14:paraId="5CE93C9A" w14:textId="77777777" w:rsidR="001B5747" w:rsidRDefault="00434CAE">
            <w:pPr>
              <w:spacing w:after="0" w:line="259" w:lineRule="auto"/>
              <w:ind w:left="6" w:firstLine="0"/>
              <w:jc w:val="center"/>
            </w:pPr>
            <w:r>
              <w:rPr>
                <w:rFonts w:ascii="Calibri" w:eastAsia="Calibri" w:hAnsi="Calibri" w:cs="Calibri"/>
                <w:sz w:val="22"/>
              </w:rPr>
              <w:t>En porcentaje sobre los ingresos no financieros</w:t>
            </w:r>
          </w:p>
        </w:tc>
        <w:tc>
          <w:tcPr>
            <w:tcW w:w="1470" w:type="dxa"/>
            <w:tcBorders>
              <w:top w:val="single" w:sz="2" w:space="0" w:color="000000"/>
              <w:left w:val="single" w:sz="2" w:space="0" w:color="000000"/>
              <w:bottom w:val="single" w:sz="2" w:space="0" w:color="000000"/>
              <w:right w:val="single" w:sz="2" w:space="0" w:color="000000"/>
            </w:tcBorders>
          </w:tcPr>
          <w:p w14:paraId="7AC6CE76" w14:textId="77777777" w:rsidR="001B5747" w:rsidRDefault="00434CAE">
            <w:pPr>
              <w:spacing w:after="0" w:line="259" w:lineRule="auto"/>
              <w:ind w:left="0" w:firstLine="0"/>
              <w:jc w:val="right"/>
            </w:pPr>
            <w:r>
              <w:rPr>
                <w:rFonts w:ascii="Calibri" w:eastAsia="Calibri" w:hAnsi="Calibri" w:cs="Calibri"/>
              </w:rPr>
              <w:t>-0,01</w:t>
            </w:r>
          </w:p>
        </w:tc>
      </w:tr>
    </w:tbl>
    <w:p w14:paraId="60E6FAA9" w14:textId="77777777" w:rsidR="001B5747" w:rsidRDefault="00434CAE">
      <w:pPr>
        <w:spacing w:after="587" w:line="225" w:lineRule="auto"/>
        <w:ind w:left="-5" w:right="4"/>
      </w:pPr>
      <w:r>
        <w:rPr>
          <w:rFonts w:ascii="Calibri" w:eastAsia="Calibri" w:hAnsi="Calibri" w:cs="Calibri"/>
        </w:rPr>
        <w:t>La liquidación municipal del Presupuesto 2023, no cumple con el objetivo de estabilidad presupuestaria o lo que es lo mismo presenta un 0,01% de necesidad de financiación.</w:t>
      </w:r>
    </w:p>
    <w:p w14:paraId="182B1C3C" w14:textId="77777777" w:rsidR="001B5747" w:rsidRDefault="00434CAE">
      <w:pPr>
        <w:pStyle w:val="Ttulo1"/>
        <w:spacing w:after="115" w:line="259" w:lineRule="auto"/>
        <w:ind w:left="0" w:right="19" w:firstLine="0"/>
      </w:pPr>
      <w:r>
        <w:rPr>
          <w:rFonts w:ascii="Calibri" w:eastAsia="Calibri" w:hAnsi="Calibri" w:cs="Calibri"/>
          <w:sz w:val="26"/>
        </w:rPr>
        <w:t>CUMPLIMIENTO DEL LíMlTE DE DEUDA</w:t>
      </w:r>
    </w:p>
    <w:p w14:paraId="48E6E06B" w14:textId="77777777" w:rsidR="001B5747" w:rsidRDefault="00434CAE">
      <w:pPr>
        <w:spacing w:after="556" w:line="225" w:lineRule="auto"/>
        <w:ind w:left="-5" w:right="4"/>
      </w:pPr>
      <w:r>
        <w:rPr>
          <w:rFonts w:ascii="Calibri" w:eastAsia="Calibri" w:hAnsi="Calibri" w:cs="Calibri"/>
        </w:rPr>
        <w:t>La LOEPSF (art. 13) establece la obligación de no rebasar el límite de deuda pública. El informe sobre este extremo se reduce a calcular el "nivel de deuda viva según el Protocolo del Déficit Excesivo" y el "nivel de deuda viva formalizada". En este sentido, se informa que no existe deuda viva para esta entidad y no constan reintegros pendientes derivados de las devoluciones en la Participación en los tributos del Estado.</w:t>
      </w:r>
    </w:p>
    <w:p w14:paraId="5C3C52AB" w14:textId="77777777" w:rsidR="001B5747" w:rsidRDefault="00434CAE">
      <w:pPr>
        <w:pStyle w:val="Ttulo2"/>
      </w:pPr>
      <w:r>
        <w:t>CONCLUSIONES</w:t>
      </w:r>
    </w:p>
    <w:p w14:paraId="113C563F" w14:textId="77777777" w:rsidR="001B5747" w:rsidRDefault="00434CAE">
      <w:pPr>
        <w:spacing w:after="120" w:line="216" w:lineRule="auto"/>
        <w:ind w:left="4" w:right="4" w:hanging="10"/>
      </w:pPr>
      <w:r>
        <w:rPr>
          <w:rFonts w:ascii="Calibri" w:eastAsia="Calibri" w:hAnsi="Calibri" w:cs="Calibri"/>
        </w:rPr>
        <w:t>A la vista de los cálculos precedentes y con motivo de la liquidación del presupuesto del ejercicio 2023 del Ayuntamiento, cabe informar, de acuerdo con el Reglamento de desarrollo de la Ley 18/2001, de 12 de diciembre, de Estabilidad Presupuestaria en su aplicación a las Entidades Locales, aprobado por el Real Decreto 1463/2007 de 2 de noviembre, del siguiente resultado obtenido:</w:t>
      </w:r>
    </w:p>
    <w:p w14:paraId="52C5667C" w14:textId="77777777" w:rsidR="001B5747" w:rsidRDefault="00434CAE">
      <w:pPr>
        <w:numPr>
          <w:ilvl w:val="0"/>
          <w:numId w:val="3"/>
        </w:numPr>
        <w:spacing w:after="43" w:line="216" w:lineRule="auto"/>
        <w:ind w:right="4" w:hanging="347"/>
      </w:pPr>
      <w:r>
        <w:rPr>
          <w:noProof/>
        </w:rPr>
        <w:drawing>
          <wp:anchor distT="0" distB="0" distL="114300" distR="114300" simplePos="0" relativeHeight="251671552" behindDoc="0" locked="0" layoutInCell="1" allowOverlap="0" wp14:anchorId="38EBED53" wp14:editId="4DFC57FA">
            <wp:simplePos x="0" y="0"/>
            <wp:positionH relativeFrom="page">
              <wp:posOffset>6786039</wp:posOffset>
            </wp:positionH>
            <wp:positionV relativeFrom="page">
              <wp:posOffset>9274676</wp:posOffset>
            </wp:positionV>
            <wp:extent cx="268105" cy="708854"/>
            <wp:effectExtent l="0" t="0" r="0" b="0"/>
            <wp:wrapTopAndBottom/>
            <wp:docPr id="65906" name="Picture 65906"/>
            <wp:cNvGraphicFramePr/>
            <a:graphic xmlns:a="http://schemas.openxmlformats.org/drawingml/2006/main">
              <a:graphicData uri="http://schemas.openxmlformats.org/drawingml/2006/picture">
                <pic:pic xmlns:pic="http://schemas.openxmlformats.org/drawingml/2006/picture">
                  <pic:nvPicPr>
                    <pic:cNvPr id="65906" name="Picture 65906"/>
                    <pic:cNvPicPr/>
                  </pic:nvPicPr>
                  <pic:blipFill>
                    <a:blip r:embed="rId18"/>
                    <a:stretch>
                      <a:fillRect/>
                    </a:stretch>
                  </pic:blipFill>
                  <pic:spPr>
                    <a:xfrm>
                      <a:off x="0" y="0"/>
                      <a:ext cx="268105" cy="708854"/>
                    </a:xfrm>
                    <a:prstGeom prst="rect">
                      <a:avLst/>
                    </a:prstGeom>
                  </pic:spPr>
                </pic:pic>
              </a:graphicData>
            </a:graphic>
          </wp:anchor>
        </w:drawing>
      </w:r>
      <w:r>
        <w:rPr>
          <w:noProof/>
        </w:rPr>
        <w:drawing>
          <wp:anchor distT="0" distB="0" distL="114300" distR="114300" simplePos="0" relativeHeight="251672576" behindDoc="0" locked="0" layoutInCell="1" allowOverlap="0" wp14:anchorId="64C7EEF4" wp14:editId="6526FE60">
            <wp:simplePos x="0" y="0"/>
            <wp:positionH relativeFrom="page">
              <wp:posOffset>6994565</wp:posOffset>
            </wp:positionH>
            <wp:positionV relativeFrom="page">
              <wp:posOffset>8035669</wp:posOffset>
            </wp:positionV>
            <wp:extent cx="59579" cy="649287"/>
            <wp:effectExtent l="0" t="0" r="0" b="0"/>
            <wp:wrapTopAndBottom/>
            <wp:docPr id="65905" name="Picture 65905"/>
            <wp:cNvGraphicFramePr/>
            <a:graphic xmlns:a="http://schemas.openxmlformats.org/drawingml/2006/main">
              <a:graphicData uri="http://schemas.openxmlformats.org/drawingml/2006/picture">
                <pic:pic xmlns:pic="http://schemas.openxmlformats.org/drawingml/2006/picture">
                  <pic:nvPicPr>
                    <pic:cNvPr id="65905" name="Picture 65905"/>
                    <pic:cNvPicPr/>
                  </pic:nvPicPr>
                  <pic:blipFill>
                    <a:blip r:embed="rId9"/>
                    <a:stretch>
                      <a:fillRect/>
                    </a:stretch>
                  </pic:blipFill>
                  <pic:spPr>
                    <a:xfrm>
                      <a:off x="0" y="0"/>
                      <a:ext cx="59579" cy="649287"/>
                    </a:xfrm>
                    <a:prstGeom prst="rect">
                      <a:avLst/>
                    </a:prstGeom>
                  </pic:spPr>
                </pic:pic>
              </a:graphicData>
            </a:graphic>
          </wp:anchor>
        </w:drawing>
      </w:r>
      <w:r>
        <w:rPr>
          <w:rFonts w:ascii="Calibri" w:eastAsia="Calibri" w:hAnsi="Calibri" w:cs="Calibri"/>
        </w:rPr>
        <w:t>Que esta Entidad Local no cumple el objetivo de Estabilidad Presupuestara entendido como la situación de equilibrio o de superávit en términos de capacidad de financiación de acuerdo con la definición contenida en el SEC 2010.</w:t>
      </w:r>
    </w:p>
    <w:p w14:paraId="79F97457" w14:textId="77777777" w:rsidR="001B5747" w:rsidRDefault="00434CAE">
      <w:pPr>
        <w:numPr>
          <w:ilvl w:val="0"/>
          <w:numId w:val="3"/>
        </w:numPr>
        <w:spacing w:after="43" w:line="216" w:lineRule="auto"/>
        <w:ind w:right="4" w:hanging="347"/>
      </w:pPr>
      <w:r>
        <w:rPr>
          <w:rFonts w:ascii="Calibri" w:eastAsia="Calibri" w:hAnsi="Calibri" w:cs="Calibri"/>
        </w:rPr>
        <w:t>No se procede a calcular el objetivo de la Regla del Gasto.</w:t>
      </w:r>
    </w:p>
    <w:p w14:paraId="71F130E1" w14:textId="77777777" w:rsidR="001B5747" w:rsidRDefault="00434CAE">
      <w:pPr>
        <w:numPr>
          <w:ilvl w:val="0"/>
          <w:numId w:val="3"/>
        </w:numPr>
        <w:spacing w:after="431" w:line="216" w:lineRule="auto"/>
        <w:ind w:right="4" w:hanging="347"/>
      </w:pPr>
      <w:r>
        <w:rPr>
          <w:rFonts w:ascii="Calibri" w:eastAsia="Calibri" w:hAnsi="Calibri" w:cs="Calibri"/>
        </w:rPr>
        <w:t>Que esta Entidad Local cumple el objetivo del límite de Deuda Pública, de acuerdo con la normativa vigente.</w:t>
      </w:r>
    </w:p>
    <w:p w14:paraId="4CED0A91" w14:textId="77777777" w:rsidR="001B5747" w:rsidRDefault="00434CAE">
      <w:pPr>
        <w:spacing w:after="658" w:line="216" w:lineRule="auto"/>
        <w:ind w:left="4" w:hanging="10"/>
        <w:jc w:val="left"/>
      </w:pPr>
      <w:r>
        <w:rPr>
          <w:rFonts w:ascii="Calibri" w:eastAsia="Calibri" w:hAnsi="Calibri" w:cs="Calibri"/>
          <w:sz w:val="26"/>
        </w:rPr>
        <w:t>Siendo el resultado del control permanente previo del expediente con efectos informativos.</w:t>
      </w:r>
    </w:p>
    <w:p w14:paraId="3CBB4CFE" w14:textId="77777777" w:rsidR="001B5747" w:rsidRDefault="00434CAE">
      <w:pPr>
        <w:spacing w:after="658" w:line="216" w:lineRule="auto"/>
        <w:ind w:left="4" w:hanging="10"/>
        <w:jc w:val="left"/>
      </w:pPr>
      <w:r>
        <w:rPr>
          <w:rFonts w:ascii="Calibri" w:eastAsia="Calibri" w:hAnsi="Calibri" w:cs="Calibri"/>
          <w:sz w:val="26"/>
        </w:rPr>
        <w:t>DOCUMENTO FIRMADO ELECTRÓNICAMENTE</w:t>
      </w:r>
    </w:p>
    <w:sectPr w:rsidR="001B5747">
      <w:headerReference w:type="even" r:id="rId19"/>
      <w:headerReference w:type="default" r:id="rId20"/>
      <w:footerReference w:type="even" r:id="rId21"/>
      <w:footerReference w:type="default" r:id="rId22"/>
      <w:headerReference w:type="first" r:id="rId23"/>
      <w:footerReference w:type="first" r:id="rId24"/>
      <w:pgSz w:w="11906" w:h="16838"/>
      <w:pgMar w:top="2671" w:right="1689" w:bottom="1907" w:left="1708" w:header="76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161E4" w14:textId="77777777" w:rsidR="00434CAE" w:rsidRDefault="00434CAE">
      <w:pPr>
        <w:spacing w:after="0" w:line="240" w:lineRule="auto"/>
      </w:pPr>
      <w:r>
        <w:separator/>
      </w:r>
    </w:p>
  </w:endnote>
  <w:endnote w:type="continuationSeparator" w:id="0">
    <w:p w14:paraId="44E55B69" w14:textId="77777777" w:rsidR="00434CAE" w:rsidRDefault="0043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4AF6" w14:textId="77777777" w:rsidR="001B5747" w:rsidRDefault="00434CAE">
    <w:pPr>
      <w:spacing w:after="0" w:line="259" w:lineRule="auto"/>
      <w:ind w:left="-1698" w:right="10218" w:firstLine="0"/>
      <w:jc w:val="left"/>
    </w:pPr>
    <w:r>
      <w:rPr>
        <w:noProof/>
      </w:rPr>
      <w:drawing>
        <wp:anchor distT="0" distB="0" distL="114300" distR="114300" simplePos="0" relativeHeight="251661312" behindDoc="0" locked="0" layoutInCell="1" allowOverlap="0" wp14:anchorId="5DDEB73A" wp14:editId="4428241B">
          <wp:simplePos x="0" y="0"/>
          <wp:positionH relativeFrom="page">
            <wp:posOffset>6786039</wp:posOffset>
          </wp:positionH>
          <wp:positionV relativeFrom="page">
            <wp:posOffset>9274676</wp:posOffset>
          </wp:positionV>
          <wp:extent cx="268105" cy="708854"/>
          <wp:effectExtent l="0" t="0" r="0" b="0"/>
          <wp:wrapSquare wrapText="bothSides"/>
          <wp:docPr id="42043" name="Picture 42043"/>
          <wp:cNvGraphicFramePr/>
          <a:graphic xmlns:a="http://schemas.openxmlformats.org/drawingml/2006/main">
            <a:graphicData uri="http://schemas.openxmlformats.org/drawingml/2006/picture">
              <pic:pic xmlns:pic="http://schemas.openxmlformats.org/drawingml/2006/picture">
                <pic:nvPicPr>
                  <pic:cNvPr id="42043" name="Picture 42043"/>
                  <pic:cNvPicPr/>
                </pic:nvPicPr>
                <pic:blipFill>
                  <a:blip r:embed="rId1"/>
                  <a:stretch>
                    <a:fillRect/>
                  </a:stretch>
                </pic:blipFill>
                <pic:spPr>
                  <a:xfrm>
                    <a:off x="0" y="0"/>
                    <a:ext cx="268105" cy="70885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5D29" w14:textId="77777777" w:rsidR="001B5747" w:rsidRDefault="00434CAE">
    <w:pPr>
      <w:spacing w:after="0" w:line="259" w:lineRule="auto"/>
      <w:ind w:left="-1698" w:right="10218" w:firstLine="0"/>
      <w:jc w:val="left"/>
    </w:pPr>
    <w:r>
      <w:rPr>
        <w:noProof/>
      </w:rPr>
      <w:drawing>
        <wp:anchor distT="0" distB="0" distL="114300" distR="114300" simplePos="0" relativeHeight="251662336" behindDoc="0" locked="0" layoutInCell="1" allowOverlap="0" wp14:anchorId="52FDF932" wp14:editId="744DE7C0">
          <wp:simplePos x="0" y="0"/>
          <wp:positionH relativeFrom="page">
            <wp:posOffset>6786039</wp:posOffset>
          </wp:positionH>
          <wp:positionV relativeFrom="page">
            <wp:posOffset>9274676</wp:posOffset>
          </wp:positionV>
          <wp:extent cx="268105" cy="708854"/>
          <wp:effectExtent l="0" t="0" r="0" b="0"/>
          <wp:wrapSquare wrapText="bothSides"/>
          <wp:docPr id="1030533285" name="Picture 42043"/>
          <wp:cNvGraphicFramePr/>
          <a:graphic xmlns:a="http://schemas.openxmlformats.org/drawingml/2006/main">
            <a:graphicData uri="http://schemas.openxmlformats.org/drawingml/2006/picture">
              <pic:pic xmlns:pic="http://schemas.openxmlformats.org/drawingml/2006/picture">
                <pic:nvPicPr>
                  <pic:cNvPr id="42043" name="Picture 42043"/>
                  <pic:cNvPicPr/>
                </pic:nvPicPr>
                <pic:blipFill>
                  <a:blip r:embed="rId1"/>
                  <a:stretch>
                    <a:fillRect/>
                  </a:stretch>
                </pic:blipFill>
                <pic:spPr>
                  <a:xfrm>
                    <a:off x="0" y="0"/>
                    <a:ext cx="268105" cy="70885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CD0DB" w14:textId="77777777" w:rsidR="001B5747" w:rsidRDefault="00434CAE">
    <w:pPr>
      <w:spacing w:after="0" w:line="259" w:lineRule="auto"/>
      <w:ind w:left="-1698" w:right="10218" w:firstLine="0"/>
      <w:jc w:val="left"/>
    </w:pPr>
    <w:r>
      <w:rPr>
        <w:noProof/>
      </w:rPr>
      <w:drawing>
        <wp:anchor distT="0" distB="0" distL="114300" distR="114300" simplePos="0" relativeHeight="251663360" behindDoc="0" locked="0" layoutInCell="1" allowOverlap="0" wp14:anchorId="011CBCF5" wp14:editId="4689B402">
          <wp:simplePos x="0" y="0"/>
          <wp:positionH relativeFrom="page">
            <wp:posOffset>6786039</wp:posOffset>
          </wp:positionH>
          <wp:positionV relativeFrom="page">
            <wp:posOffset>9274676</wp:posOffset>
          </wp:positionV>
          <wp:extent cx="268105" cy="708854"/>
          <wp:effectExtent l="0" t="0" r="0" b="0"/>
          <wp:wrapSquare wrapText="bothSides"/>
          <wp:docPr id="1222398227" name="Picture 42043"/>
          <wp:cNvGraphicFramePr/>
          <a:graphic xmlns:a="http://schemas.openxmlformats.org/drawingml/2006/main">
            <a:graphicData uri="http://schemas.openxmlformats.org/drawingml/2006/picture">
              <pic:pic xmlns:pic="http://schemas.openxmlformats.org/drawingml/2006/picture">
                <pic:nvPicPr>
                  <pic:cNvPr id="42043" name="Picture 42043"/>
                  <pic:cNvPicPr/>
                </pic:nvPicPr>
                <pic:blipFill>
                  <a:blip r:embed="rId1"/>
                  <a:stretch>
                    <a:fillRect/>
                  </a:stretch>
                </pic:blipFill>
                <pic:spPr>
                  <a:xfrm>
                    <a:off x="0" y="0"/>
                    <a:ext cx="268105" cy="708854"/>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297FF" w14:textId="77777777" w:rsidR="001B5747" w:rsidRDefault="001B574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F762" w14:textId="77777777" w:rsidR="001B5747" w:rsidRDefault="001B574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921F0" w14:textId="77777777" w:rsidR="001B5747" w:rsidRDefault="001B574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A6D3" w14:textId="77777777" w:rsidR="00434CAE" w:rsidRDefault="00434CAE">
      <w:pPr>
        <w:spacing w:after="0" w:line="240" w:lineRule="auto"/>
      </w:pPr>
      <w:r>
        <w:separator/>
      </w:r>
    </w:p>
  </w:footnote>
  <w:footnote w:type="continuationSeparator" w:id="0">
    <w:p w14:paraId="02F2BC59" w14:textId="77777777" w:rsidR="00434CAE" w:rsidRDefault="0043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05FD" w14:textId="77777777" w:rsidR="001B5747" w:rsidRDefault="00434CAE">
    <w:pPr>
      <w:spacing w:after="0" w:line="246" w:lineRule="auto"/>
      <w:ind w:left="66" w:right="5479" w:firstLine="9"/>
    </w:pPr>
    <w:r>
      <w:rPr>
        <w:noProof/>
      </w:rPr>
      <w:drawing>
        <wp:anchor distT="0" distB="0" distL="114300" distR="114300" simplePos="0" relativeHeight="251658240" behindDoc="0" locked="0" layoutInCell="1" allowOverlap="0" wp14:anchorId="73FDD9BC" wp14:editId="6C96EB65">
          <wp:simplePos x="0" y="0"/>
          <wp:positionH relativeFrom="page">
            <wp:posOffset>1120084</wp:posOffset>
          </wp:positionH>
          <wp:positionV relativeFrom="page">
            <wp:posOffset>488454</wp:posOffset>
          </wp:positionV>
          <wp:extent cx="351516" cy="637373"/>
          <wp:effectExtent l="0" t="0" r="0" b="0"/>
          <wp:wrapSquare wrapText="bothSides"/>
          <wp:docPr id="42044" name="Picture 42044"/>
          <wp:cNvGraphicFramePr/>
          <a:graphic xmlns:a="http://schemas.openxmlformats.org/drawingml/2006/main">
            <a:graphicData uri="http://schemas.openxmlformats.org/drawingml/2006/picture">
              <pic:pic xmlns:pic="http://schemas.openxmlformats.org/drawingml/2006/picture">
                <pic:nvPicPr>
                  <pic:cNvPr id="42044" name="Picture 42044"/>
                  <pic:cNvPicPr/>
                </pic:nvPicPr>
                <pic:blipFill>
                  <a:blip r:embed="rId1"/>
                  <a:stretch>
                    <a:fillRect/>
                  </a:stretch>
                </pic:blipFill>
                <pic:spPr>
                  <a:xfrm>
                    <a:off x="0" y="0"/>
                    <a:ext cx="351516" cy="637373"/>
                  </a:xfrm>
                  <a:prstGeom prst="rect">
                    <a:avLst/>
                  </a:prstGeom>
                </pic:spPr>
              </pic:pic>
            </a:graphicData>
          </a:graphic>
        </wp:anchor>
      </w:drawing>
    </w:r>
    <w:r>
      <w:rPr>
        <w:sz w:val="26"/>
      </w:rPr>
      <w:t xml:space="preserve">Ilustre Ayuntamiento de </w:t>
    </w:r>
    <w:r>
      <w:rPr>
        <w:sz w:val="30"/>
      </w:rPr>
      <w:t xml:space="preserve">Valle Gran </w:t>
    </w:r>
    <w:r>
      <w:rPr>
        <w:sz w:val="32"/>
      </w:rPr>
      <w:t>Rey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D2997" w14:textId="77777777" w:rsidR="001B5747" w:rsidRDefault="00434CAE">
    <w:pPr>
      <w:spacing w:after="0" w:line="246" w:lineRule="auto"/>
      <w:ind w:left="66" w:right="5479" w:firstLine="9"/>
    </w:pPr>
    <w:r>
      <w:rPr>
        <w:noProof/>
      </w:rPr>
      <w:drawing>
        <wp:anchor distT="0" distB="0" distL="114300" distR="114300" simplePos="0" relativeHeight="251659264" behindDoc="0" locked="0" layoutInCell="1" allowOverlap="0" wp14:anchorId="74D16352" wp14:editId="1FDC34B5">
          <wp:simplePos x="0" y="0"/>
          <wp:positionH relativeFrom="page">
            <wp:posOffset>1120084</wp:posOffset>
          </wp:positionH>
          <wp:positionV relativeFrom="page">
            <wp:posOffset>488454</wp:posOffset>
          </wp:positionV>
          <wp:extent cx="351516" cy="637373"/>
          <wp:effectExtent l="0" t="0" r="0" b="0"/>
          <wp:wrapSquare wrapText="bothSides"/>
          <wp:docPr id="112831647" name="Picture 42044"/>
          <wp:cNvGraphicFramePr/>
          <a:graphic xmlns:a="http://schemas.openxmlformats.org/drawingml/2006/main">
            <a:graphicData uri="http://schemas.openxmlformats.org/drawingml/2006/picture">
              <pic:pic xmlns:pic="http://schemas.openxmlformats.org/drawingml/2006/picture">
                <pic:nvPicPr>
                  <pic:cNvPr id="42044" name="Picture 42044"/>
                  <pic:cNvPicPr/>
                </pic:nvPicPr>
                <pic:blipFill>
                  <a:blip r:embed="rId1"/>
                  <a:stretch>
                    <a:fillRect/>
                  </a:stretch>
                </pic:blipFill>
                <pic:spPr>
                  <a:xfrm>
                    <a:off x="0" y="0"/>
                    <a:ext cx="351516" cy="637373"/>
                  </a:xfrm>
                  <a:prstGeom prst="rect">
                    <a:avLst/>
                  </a:prstGeom>
                </pic:spPr>
              </pic:pic>
            </a:graphicData>
          </a:graphic>
        </wp:anchor>
      </w:drawing>
    </w:r>
    <w:r>
      <w:rPr>
        <w:sz w:val="26"/>
      </w:rPr>
      <w:t xml:space="preserve">Ilustre Ayuntamiento de </w:t>
    </w:r>
    <w:r>
      <w:rPr>
        <w:sz w:val="30"/>
      </w:rPr>
      <w:t xml:space="preserve">Valle Gran </w:t>
    </w:r>
    <w:r>
      <w:rPr>
        <w:sz w:val="32"/>
      </w:rPr>
      <w:t>Rey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F7B9B" w14:textId="77777777" w:rsidR="001B5747" w:rsidRDefault="00434CAE">
    <w:pPr>
      <w:spacing w:after="0" w:line="246" w:lineRule="auto"/>
      <w:ind w:left="66" w:right="5479" w:firstLine="9"/>
    </w:pPr>
    <w:r>
      <w:rPr>
        <w:noProof/>
      </w:rPr>
      <w:drawing>
        <wp:anchor distT="0" distB="0" distL="114300" distR="114300" simplePos="0" relativeHeight="251660288" behindDoc="0" locked="0" layoutInCell="1" allowOverlap="0" wp14:anchorId="6BC0A2DD" wp14:editId="5834EAB3">
          <wp:simplePos x="0" y="0"/>
          <wp:positionH relativeFrom="page">
            <wp:posOffset>1120084</wp:posOffset>
          </wp:positionH>
          <wp:positionV relativeFrom="page">
            <wp:posOffset>488454</wp:posOffset>
          </wp:positionV>
          <wp:extent cx="351516" cy="637373"/>
          <wp:effectExtent l="0" t="0" r="0" b="0"/>
          <wp:wrapSquare wrapText="bothSides"/>
          <wp:docPr id="217995315" name="Picture 42044"/>
          <wp:cNvGraphicFramePr/>
          <a:graphic xmlns:a="http://schemas.openxmlformats.org/drawingml/2006/main">
            <a:graphicData uri="http://schemas.openxmlformats.org/drawingml/2006/picture">
              <pic:pic xmlns:pic="http://schemas.openxmlformats.org/drawingml/2006/picture">
                <pic:nvPicPr>
                  <pic:cNvPr id="42044" name="Picture 42044"/>
                  <pic:cNvPicPr/>
                </pic:nvPicPr>
                <pic:blipFill>
                  <a:blip r:embed="rId1"/>
                  <a:stretch>
                    <a:fillRect/>
                  </a:stretch>
                </pic:blipFill>
                <pic:spPr>
                  <a:xfrm>
                    <a:off x="0" y="0"/>
                    <a:ext cx="351516" cy="637373"/>
                  </a:xfrm>
                  <a:prstGeom prst="rect">
                    <a:avLst/>
                  </a:prstGeom>
                </pic:spPr>
              </pic:pic>
            </a:graphicData>
          </a:graphic>
        </wp:anchor>
      </w:drawing>
    </w:r>
    <w:r>
      <w:rPr>
        <w:sz w:val="26"/>
      </w:rPr>
      <w:t xml:space="preserve">Ilustre Ayuntamiento de </w:t>
    </w:r>
    <w:r>
      <w:rPr>
        <w:sz w:val="30"/>
      </w:rPr>
      <w:t xml:space="preserve">Valle Gran </w:t>
    </w:r>
    <w:r>
      <w:rPr>
        <w:sz w:val="32"/>
      </w:rPr>
      <w:t>Rey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C09E" w14:textId="77777777" w:rsidR="001B5747" w:rsidRDefault="00434CAE">
    <w:pPr>
      <w:spacing w:after="0" w:line="246" w:lineRule="auto"/>
      <w:ind w:left="56" w:right="5479" w:firstLine="9"/>
    </w:pPr>
    <w:r>
      <w:rPr>
        <w:noProof/>
      </w:rPr>
      <w:drawing>
        <wp:anchor distT="0" distB="0" distL="114300" distR="114300" simplePos="0" relativeHeight="251664384" behindDoc="0" locked="0" layoutInCell="1" allowOverlap="0" wp14:anchorId="2BCB82A0" wp14:editId="395F0785">
          <wp:simplePos x="0" y="0"/>
          <wp:positionH relativeFrom="page">
            <wp:posOffset>1120084</wp:posOffset>
          </wp:positionH>
          <wp:positionV relativeFrom="page">
            <wp:posOffset>488454</wp:posOffset>
          </wp:positionV>
          <wp:extent cx="351516" cy="637373"/>
          <wp:effectExtent l="0" t="0" r="0" b="0"/>
          <wp:wrapSquare wrapText="bothSides"/>
          <wp:docPr id="2045574244" name="Picture 42044"/>
          <wp:cNvGraphicFramePr/>
          <a:graphic xmlns:a="http://schemas.openxmlformats.org/drawingml/2006/main">
            <a:graphicData uri="http://schemas.openxmlformats.org/drawingml/2006/picture">
              <pic:pic xmlns:pic="http://schemas.openxmlformats.org/drawingml/2006/picture">
                <pic:nvPicPr>
                  <pic:cNvPr id="42044" name="Picture 42044"/>
                  <pic:cNvPicPr/>
                </pic:nvPicPr>
                <pic:blipFill>
                  <a:blip r:embed="rId1"/>
                  <a:stretch>
                    <a:fillRect/>
                  </a:stretch>
                </pic:blipFill>
                <pic:spPr>
                  <a:xfrm>
                    <a:off x="0" y="0"/>
                    <a:ext cx="351516" cy="637373"/>
                  </a:xfrm>
                  <a:prstGeom prst="rect">
                    <a:avLst/>
                  </a:prstGeom>
                </pic:spPr>
              </pic:pic>
            </a:graphicData>
          </a:graphic>
        </wp:anchor>
      </w:drawing>
    </w:r>
    <w:r>
      <w:rPr>
        <w:sz w:val="26"/>
      </w:rPr>
      <w:t xml:space="preserve">Ilustre Ayuntamiento de </w:t>
    </w:r>
    <w:r>
      <w:rPr>
        <w:sz w:val="30"/>
      </w:rPr>
      <w:t xml:space="preserve">Valle Gran </w:t>
    </w:r>
    <w:r>
      <w:rPr>
        <w:sz w:val="32"/>
      </w:rPr>
      <w:t>Rey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A0B5" w14:textId="77777777" w:rsidR="001B5747" w:rsidRDefault="00434CAE">
    <w:pPr>
      <w:spacing w:after="0" w:line="246" w:lineRule="auto"/>
      <w:ind w:left="56" w:right="5479" w:firstLine="9"/>
    </w:pPr>
    <w:r>
      <w:rPr>
        <w:noProof/>
      </w:rPr>
      <w:drawing>
        <wp:anchor distT="0" distB="0" distL="114300" distR="114300" simplePos="0" relativeHeight="251665408" behindDoc="0" locked="0" layoutInCell="1" allowOverlap="0" wp14:anchorId="0DB05987" wp14:editId="41674C36">
          <wp:simplePos x="0" y="0"/>
          <wp:positionH relativeFrom="page">
            <wp:posOffset>1120084</wp:posOffset>
          </wp:positionH>
          <wp:positionV relativeFrom="page">
            <wp:posOffset>488454</wp:posOffset>
          </wp:positionV>
          <wp:extent cx="351516" cy="637373"/>
          <wp:effectExtent l="0" t="0" r="0" b="0"/>
          <wp:wrapSquare wrapText="bothSides"/>
          <wp:docPr id="153100505" name="Picture 42044"/>
          <wp:cNvGraphicFramePr/>
          <a:graphic xmlns:a="http://schemas.openxmlformats.org/drawingml/2006/main">
            <a:graphicData uri="http://schemas.openxmlformats.org/drawingml/2006/picture">
              <pic:pic xmlns:pic="http://schemas.openxmlformats.org/drawingml/2006/picture">
                <pic:nvPicPr>
                  <pic:cNvPr id="42044" name="Picture 42044"/>
                  <pic:cNvPicPr/>
                </pic:nvPicPr>
                <pic:blipFill>
                  <a:blip r:embed="rId1"/>
                  <a:stretch>
                    <a:fillRect/>
                  </a:stretch>
                </pic:blipFill>
                <pic:spPr>
                  <a:xfrm>
                    <a:off x="0" y="0"/>
                    <a:ext cx="351516" cy="637373"/>
                  </a:xfrm>
                  <a:prstGeom prst="rect">
                    <a:avLst/>
                  </a:prstGeom>
                </pic:spPr>
              </pic:pic>
            </a:graphicData>
          </a:graphic>
        </wp:anchor>
      </w:drawing>
    </w:r>
    <w:r>
      <w:rPr>
        <w:sz w:val="26"/>
      </w:rPr>
      <w:t xml:space="preserve">Ilustre Ayuntamiento de </w:t>
    </w:r>
    <w:r>
      <w:rPr>
        <w:sz w:val="30"/>
      </w:rPr>
      <w:t xml:space="preserve">Valle Gran </w:t>
    </w:r>
    <w:r>
      <w:rPr>
        <w:sz w:val="32"/>
      </w:rPr>
      <w:t>Rey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8556" w14:textId="77777777" w:rsidR="001B5747" w:rsidRDefault="00434CAE">
    <w:pPr>
      <w:spacing w:after="0" w:line="246" w:lineRule="auto"/>
      <w:ind w:left="56" w:right="5479" w:firstLine="9"/>
    </w:pPr>
    <w:r>
      <w:rPr>
        <w:noProof/>
      </w:rPr>
      <w:drawing>
        <wp:anchor distT="0" distB="0" distL="114300" distR="114300" simplePos="0" relativeHeight="251666432" behindDoc="0" locked="0" layoutInCell="1" allowOverlap="0" wp14:anchorId="32E387FD" wp14:editId="5DE4BC9D">
          <wp:simplePos x="0" y="0"/>
          <wp:positionH relativeFrom="page">
            <wp:posOffset>1120084</wp:posOffset>
          </wp:positionH>
          <wp:positionV relativeFrom="page">
            <wp:posOffset>488454</wp:posOffset>
          </wp:positionV>
          <wp:extent cx="351516" cy="637373"/>
          <wp:effectExtent l="0" t="0" r="0" b="0"/>
          <wp:wrapSquare wrapText="bothSides"/>
          <wp:docPr id="791033324" name="Picture 42044"/>
          <wp:cNvGraphicFramePr/>
          <a:graphic xmlns:a="http://schemas.openxmlformats.org/drawingml/2006/main">
            <a:graphicData uri="http://schemas.openxmlformats.org/drawingml/2006/picture">
              <pic:pic xmlns:pic="http://schemas.openxmlformats.org/drawingml/2006/picture">
                <pic:nvPicPr>
                  <pic:cNvPr id="42044" name="Picture 42044"/>
                  <pic:cNvPicPr/>
                </pic:nvPicPr>
                <pic:blipFill>
                  <a:blip r:embed="rId1"/>
                  <a:stretch>
                    <a:fillRect/>
                  </a:stretch>
                </pic:blipFill>
                <pic:spPr>
                  <a:xfrm>
                    <a:off x="0" y="0"/>
                    <a:ext cx="351516" cy="637373"/>
                  </a:xfrm>
                  <a:prstGeom prst="rect">
                    <a:avLst/>
                  </a:prstGeom>
                </pic:spPr>
              </pic:pic>
            </a:graphicData>
          </a:graphic>
        </wp:anchor>
      </w:drawing>
    </w:r>
    <w:r>
      <w:rPr>
        <w:sz w:val="26"/>
      </w:rPr>
      <w:t xml:space="preserve">Ilustre Ayuntamiento de </w:t>
    </w:r>
    <w:r>
      <w:rPr>
        <w:sz w:val="30"/>
      </w:rPr>
      <w:t xml:space="preserve">Valle Gran </w:t>
    </w:r>
    <w:r>
      <w:rPr>
        <w:sz w:val="32"/>
      </w:rPr>
      <w:t>Rey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22841"/>
    <w:multiLevelType w:val="hybridMultilevel"/>
    <w:tmpl w:val="DB7248D6"/>
    <w:lvl w:ilvl="0" w:tplc="967CB974">
      <w:start w:val="1"/>
      <w:numFmt w:val="bullet"/>
      <w:lvlText w:val="•"/>
      <w:lvlJc w:val="left"/>
      <w:pPr>
        <w:ind w:left="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043606">
      <w:start w:val="1"/>
      <w:numFmt w:val="bullet"/>
      <w:lvlText w:val="o"/>
      <w:lvlJc w:val="left"/>
      <w:pPr>
        <w:ind w:left="1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1E8260">
      <w:start w:val="1"/>
      <w:numFmt w:val="bullet"/>
      <w:lvlText w:val="▪"/>
      <w:lvlJc w:val="left"/>
      <w:pPr>
        <w:ind w:left="2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3E8736">
      <w:start w:val="1"/>
      <w:numFmt w:val="bullet"/>
      <w:lvlText w:val="•"/>
      <w:lvlJc w:val="left"/>
      <w:pPr>
        <w:ind w:left="3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26AEF0">
      <w:start w:val="1"/>
      <w:numFmt w:val="bullet"/>
      <w:lvlText w:val="o"/>
      <w:lvlJc w:val="left"/>
      <w:pPr>
        <w:ind w:left="3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FE69E0">
      <w:start w:val="1"/>
      <w:numFmt w:val="bullet"/>
      <w:lvlText w:val="▪"/>
      <w:lvlJc w:val="left"/>
      <w:pPr>
        <w:ind w:left="4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A5EF840">
      <w:start w:val="1"/>
      <w:numFmt w:val="bullet"/>
      <w:lvlText w:val="•"/>
      <w:lvlJc w:val="left"/>
      <w:pPr>
        <w:ind w:left="5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8EF8A6">
      <w:start w:val="1"/>
      <w:numFmt w:val="bullet"/>
      <w:lvlText w:val="o"/>
      <w:lvlJc w:val="left"/>
      <w:pPr>
        <w:ind w:left="5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2A3A3E">
      <w:start w:val="1"/>
      <w:numFmt w:val="bullet"/>
      <w:lvlText w:val="▪"/>
      <w:lvlJc w:val="left"/>
      <w:pPr>
        <w:ind w:left="6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B501E8C"/>
    <w:multiLevelType w:val="hybridMultilevel"/>
    <w:tmpl w:val="113210CC"/>
    <w:lvl w:ilvl="0" w:tplc="BF6400E8">
      <w:start w:val="1"/>
      <w:numFmt w:val="upperLetter"/>
      <w:lvlText w:val="%1)"/>
      <w:lvlJc w:val="left"/>
      <w:pPr>
        <w:ind w:left="3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06A3246">
      <w:start w:val="1"/>
      <w:numFmt w:val="lowerLetter"/>
      <w:lvlText w:val="%2"/>
      <w:lvlJc w:val="left"/>
      <w:pPr>
        <w:ind w:left="10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F6495B8">
      <w:start w:val="1"/>
      <w:numFmt w:val="lowerRoman"/>
      <w:lvlText w:val="%3"/>
      <w:lvlJc w:val="left"/>
      <w:pPr>
        <w:ind w:left="18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E9083CC">
      <w:start w:val="1"/>
      <w:numFmt w:val="decimal"/>
      <w:lvlText w:val="%4"/>
      <w:lvlJc w:val="left"/>
      <w:pPr>
        <w:ind w:left="2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4E6ADB8">
      <w:start w:val="1"/>
      <w:numFmt w:val="lowerLetter"/>
      <w:lvlText w:val="%5"/>
      <w:lvlJc w:val="left"/>
      <w:pPr>
        <w:ind w:left="3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2BA82BE">
      <w:start w:val="1"/>
      <w:numFmt w:val="lowerRoman"/>
      <w:lvlText w:val="%6"/>
      <w:lvlJc w:val="left"/>
      <w:pPr>
        <w:ind w:left="3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5FED27A">
      <w:start w:val="1"/>
      <w:numFmt w:val="decimal"/>
      <w:lvlText w:val="%7"/>
      <w:lvlJc w:val="left"/>
      <w:pPr>
        <w:ind w:left="4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2CF7B0">
      <w:start w:val="1"/>
      <w:numFmt w:val="lowerLetter"/>
      <w:lvlText w:val="%8"/>
      <w:lvlJc w:val="left"/>
      <w:pPr>
        <w:ind w:left="5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36C714">
      <w:start w:val="1"/>
      <w:numFmt w:val="lowerRoman"/>
      <w:lvlText w:val="%9"/>
      <w:lvlJc w:val="left"/>
      <w:pPr>
        <w:ind w:left="6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74EF3BF3"/>
    <w:multiLevelType w:val="hybridMultilevel"/>
    <w:tmpl w:val="33EC56B8"/>
    <w:lvl w:ilvl="0" w:tplc="55B8E08A">
      <w:start w:val="1"/>
      <w:numFmt w:val="upperLetter"/>
      <w:lvlText w:val="%1."/>
      <w:lvlJc w:val="left"/>
      <w:pPr>
        <w:ind w:left="34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8B1C3E96">
      <w:start w:val="1"/>
      <w:numFmt w:val="lowerLetter"/>
      <w:lvlText w:val="%2"/>
      <w:lvlJc w:val="left"/>
      <w:pPr>
        <w:ind w:left="10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D20CEA4">
      <w:start w:val="1"/>
      <w:numFmt w:val="lowerRoman"/>
      <w:lvlText w:val="%3"/>
      <w:lvlJc w:val="left"/>
      <w:pPr>
        <w:ind w:left="18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2708BFA">
      <w:start w:val="1"/>
      <w:numFmt w:val="decimal"/>
      <w:lvlText w:val="%4"/>
      <w:lvlJc w:val="left"/>
      <w:pPr>
        <w:ind w:left="25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D56F8EA">
      <w:start w:val="1"/>
      <w:numFmt w:val="lowerLetter"/>
      <w:lvlText w:val="%5"/>
      <w:lvlJc w:val="left"/>
      <w:pPr>
        <w:ind w:left="32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9DA5CE4">
      <w:start w:val="1"/>
      <w:numFmt w:val="lowerRoman"/>
      <w:lvlText w:val="%6"/>
      <w:lvlJc w:val="left"/>
      <w:pPr>
        <w:ind w:left="39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6D0111E">
      <w:start w:val="1"/>
      <w:numFmt w:val="decimal"/>
      <w:lvlText w:val="%7"/>
      <w:lvlJc w:val="left"/>
      <w:pPr>
        <w:ind w:left="46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C6EB44E">
      <w:start w:val="1"/>
      <w:numFmt w:val="lowerLetter"/>
      <w:lvlText w:val="%8"/>
      <w:lvlJc w:val="left"/>
      <w:pPr>
        <w:ind w:left="54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37A2C00">
      <w:start w:val="1"/>
      <w:numFmt w:val="lowerRoman"/>
      <w:lvlText w:val="%9"/>
      <w:lvlJc w:val="left"/>
      <w:pPr>
        <w:ind w:left="61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587616951">
    <w:abstractNumId w:val="0"/>
  </w:num>
  <w:num w:numId="2" w16cid:durableId="769737591">
    <w:abstractNumId w:val="1"/>
  </w:num>
  <w:num w:numId="3" w16cid:durableId="546337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747"/>
    <w:rsid w:val="00125A50"/>
    <w:rsid w:val="001B5747"/>
    <w:rsid w:val="00434C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8815"/>
  <w15:docId w15:val="{AFD010EC-7BEF-42FD-879E-8D5A1D13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21" w:lineRule="auto"/>
      <w:ind w:left="20" w:hanging="1"/>
      <w:jc w:val="both"/>
    </w:pPr>
    <w:rPr>
      <w:rFonts w:ascii="Times New Roman" w:eastAsia="Times New Roman" w:hAnsi="Times New Roman" w:cs="Times New Roman"/>
      <w:color w:val="000000"/>
      <w:sz w:val="24"/>
    </w:rPr>
  </w:style>
  <w:style w:type="paragraph" w:styleId="Ttulo1">
    <w:name w:val="heading 1"/>
    <w:next w:val="Normal"/>
    <w:link w:val="Ttulo1Car"/>
    <w:uiPriority w:val="9"/>
    <w:qFormat/>
    <w:pPr>
      <w:keepNext/>
      <w:keepLines/>
      <w:spacing w:after="377" w:line="280" w:lineRule="auto"/>
      <w:ind w:left="10" w:right="9" w:hanging="10"/>
      <w:jc w:val="center"/>
      <w:outlineLvl w:val="0"/>
    </w:pPr>
    <w:rPr>
      <w:rFonts w:ascii="Times New Roman" w:eastAsia="Times New Roman" w:hAnsi="Times New Roman" w:cs="Times New Roman"/>
      <w:color w:val="000000"/>
      <w:sz w:val="28"/>
    </w:rPr>
  </w:style>
  <w:style w:type="paragraph" w:styleId="Ttulo2">
    <w:name w:val="heading 2"/>
    <w:next w:val="Normal"/>
    <w:link w:val="Ttulo2Car"/>
    <w:uiPriority w:val="9"/>
    <w:unhideWhenUsed/>
    <w:qFormat/>
    <w:pPr>
      <w:keepNext/>
      <w:keepLines/>
      <w:spacing w:after="381"/>
      <w:ind w:right="9"/>
      <w:jc w:val="center"/>
      <w:outlineLvl w:val="1"/>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8"/>
    </w:rPr>
  </w:style>
  <w:style w:type="character" w:customStyle="1" w:styleId="Ttulo1Car">
    <w:name w:val="Título 1 Car"/>
    <w:link w:val="Ttulo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4.jp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header5.xml.rels><?xml version="1.0" encoding="UTF-8" standalone="yes"?>
<Relationships xmlns="http://schemas.openxmlformats.org/package/2006/relationships"><Relationship Id="rId1" Type="http://schemas.openxmlformats.org/officeDocument/2006/relationships/image" Target="media/image6.jpg"/></Relationships>
</file>

<file path=word/_rels/header6.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3311</Words>
  <Characters>18213</Characters>
  <Application>Microsoft Office Word</Application>
  <DocSecurity>0</DocSecurity>
  <Lines>151</Lines>
  <Paragraphs>42</Paragraphs>
  <ScaleCrop>false</ScaleCrop>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20240724_Otros_INFORME DEL ESTABILIDAD - Expte. Aprobación de la Liquidación del Presupuesto 2023 (1).pdf</dc:title>
  <dc:subject/>
  <dc:creator>Roberto Luis Riera Briceño</dc:creator>
  <cp:keywords/>
  <cp:lastModifiedBy>Roberto Luis Riera Briceño</cp:lastModifiedBy>
  <cp:revision>2</cp:revision>
  <dcterms:created xsi:type="dcterms:W3CDTF">2024-11-11T13:59:00Z</dcterms:created>
  <dcterms:modified xsi:type="dcterms:W3CDTF">2024-11-11T13:59:00Z</dcterms:modified>
</cp:coreProperties>
</file>